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32B" w:rsidR="002E032B" w:rsidP="002E032B" w:rsidRDefault="002E032B" w14:paraId="2E03B1F6"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Sarah Brenes</w:t>
      </w:r>
      <w:r w:rsidRPr="002E032B">
        <w:rPr>
          <w:rFonts w:ascii="Times New Roman" w:hAnsi="Times New Roman" w:eastAsia="Times New Roman" w:cs="Times New Roman"/>
          <w:sz w:val="24"/>
          <w:szCs w:val="24"/>
        </w:rPr>
        <w:t xml:space="preserve">                                                                                                    </w:t>
      </w:r>
      <w:r w:rsidRPr="002E032B">
        <w:rPr>
          <w:rFonts w:ascii="Times New Roman" w:hAnsi="Times New Roman" w:eastAsia="Times New Roman" w:cs="Times New Roman"/>
          <w:b/>
          <w:bCs/>
          <w:sz w:val="24"/>
          <w:szCs w:val="24"/>
        </w:rPr>
        <w:t>NON-DETAINED</w:t>
      </w:r>
      <w:r w:rsidRPr="002E032B">
        <w:rPr>
          <w:rFonts w:ascii="Times New Roman" w:hAnsi="Times New Roman" w:eastAsia="Times New Roman" w:cs="Times New Roman"/>
          <w:sz w:val="24"/>
          <w:szCs w:val="24"/>
        </w:rPr>
        <w:t> </w:t>
      </w:r>
    </w:p>
    <w:p w:rsidRPr="002E032B" w:rsidR="002E032B" w:rsidP="002E032B" w:rsidRDefault="002E032B" w14:paraId="5ECEFDE9"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i/>
          <w:iCs/>
          <w:color w:val="000000"/>
          <w:sz w:val="24"/>
          <w:szCs w:val="24"/>
        </w:rPr>
        <w:t xml:space="preserve">Pro Bono </w:t>
      </w:r>
      <w:r w:rsidRPr="002E032B">
        <w:rPr>
          <w:rFonts w:ascii="Times New Roman" w:hAnsi="Times New Roman" w:eastAsia="Times New Roman" w:cs="Times New Roman"/>
          <w:b/>
          <w:bCs/>
          <w:color w:val="000000"/>
          <w:sz w:val="24"/>
          <w:szCs w:val="24"/>
        </w:rPr>
        <w:t>Counsel for Respondent</w:t>
      </w:r>
      <w:r w:rsidRPr="002E032B">
        <w:rPr>
          <w:rFonts w:ascii="Times New Roman" w:hAnsi="Times New Roman" w:eastAsia="Times New Roman" w:cs="Times New Roman"/>
          <w:color w:val="000000"/>
          <w:sz w:val="24"/>
          <w:szCs w:val="24"/>
        </w:rPr>
        <w:t> </w:t>
      </w:r>
    </w:p>
    <w:p w:rsidRPr="002E032B" w:rsidR="002E032B" w:rsidP="002E032B" w:rsidRDefault="002E032B" w14:paraId="45EFC1CA"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EOIR ZD036236</w:t>
      </w:r>
      <w:r w:rsidRPr="002E032B">
        <w:rPr>
          <w:rFonts w:ascii="Times New Roman" w:hAnsi="Times New Roman" w:eastAsia="Times New Roman" w:cs="Times New Roman"/>
          <w:color w:val="000000"/>
          <w:sz w:val="24"/>
          <w:szCs w:val="24"/>
        </w:rPr>
        <w:t> </w:t>
      </w:r>
    </w:p>
    <w:p w:rsidRPr="002E032B" w:rsidR="002E032B" w:rsidP="002E032B" w:rsidRDefault="002E032B" w14:paraId="19EA3CAD"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The Advocates for Human Rights</w:t>
      </w:r>
      <w:r w:rsidRPr="002E032B">
        <w:rPr>
          <w:rFonts w:ascii="Times New Roman" w:hAnsi="Times New Roman" w:eastAsia="Times New Roman" w:cs="Times New Roman"/>
          <w:color w:val="000000"/>
          <w:sz w:val="24"/>
          <w:szCs w:val="24"/>
        </w:rPr>
        <w:t> </w:t>
      </w:r>
    </w:p>
    <w:p w:rsidRPr="002E032B" w:rsidR="002E032B" w:rsidP="002E032B" w:rsidRDefault="002E032B" w14:paraId="4A26679A"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330 2nd Avenue South, Suite 800</w:t>
      </w:r>
      <w:r w:rsidRPr="002E032B">
        <w:rPr>
          <w:rFonts w:ascii="Times New Roman" w:hAnsi="Times New Roman" w:eastAsia="Times New Roman" w:cs="Times New Roman"/>
          <w:color w:val="000000"/>
          <w:sz w:val="24"/>
          <w:szCs w:val="24"/>
        </w:rPr>
        <w:t> </w:t>
      </w:r>
    </w:p>
    <w:p w:rsidRPr="002E032B" w:rsidR="002E032B" w:rsidP="002E032B" w:rsidRDefault="002E032B" w14:paraId="3E6165F9"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Minneapolis, MN 55401</w:t>
      </w:r>
      <w:r w:rsidRPr="002E032B">
        <w:rPr>
          <w:rFonts w:ascii="Times New Roman" w:hAnsi="Times New Roman" w:eastAsia="Times New Roman" w:cs="Times New Roman"/>
          <w:color w:val="000000"/>
          <w:sz w:val="24"/>
          <w:szCs w:val="24"/>
        </w:rPr>
        <w:t> </w:t>
      </w:r>
    </w:p>
    <w:p w:rsidRPr="002E032B" w:rsidR="002E032B" w:rsidP="002E032B" w:rsidRDefault="002E032B" w14:paraId="3991D1EE"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sz w:val="24"/>
          <w:szCs w:val="24"/>
        </w:rPr>
        <w:t> </w:t>
      </w:r>
    </w:p>
    <w:p w:rsidRPr="002E032B" w:rsidR="002E032B" w:rsidP="002E032B" w:rsidRDefault="002E032B" w14:paraId="2A2F7473"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color w:val="000000"/>
          <w:sz w:val="24"/>
          <w:szCs w:val="24"/>
        </w:rPr>
        <w:t> </w:t>
      </w:r>
    </w:p>
    <w:p w:rsidRPr="002E032B" w:rsidR="002E032B" w:rsidP="002E032B" w:rsidRDefault="002E032B" w14:paraId="79932336"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color w:val="000000"/>
          <w:sz w:val="24"/>
          <w:szCs w:val="24"/>
        </w:rPr>
        <w:t> </w:t>
      </w:r>
    </w:p>
    <w:p w:rsidRPr="002E032B" w:rsidR="002E032B" w:rsidP="002E032B" w:rsidRDefault="002E032B" w14:paraId="1CBABABE" w14:textId="77777777">
      <w:pPr>
        <w:spacing w:after="0" w:line="240" w:lineRule="auto"/>
        <w:jc w:val="center"/>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UNITED STATES DEPARTMENT OF JUSTICE</w:t>
      </w:r>
      <w:r w:rsidRPr="002E032B">
        <w:rPr>
          <w:rFonts w:ascii="Times New Roman" w:hAnsi="Times New Roman" w:eastAsia="Times New Roman" w:cs="Times New Roman"/>
          <w:color w:val="000000"/>
          <w:sz w:val="24"/>
          <w:szCs w:val="24"/>
        </w:rPr>
        <w:t> </w:t>
      </w:r>
    </w:p>
    <w:p w:rsidRPr="002E032B" w:rsidR="002E032B" w:rsidP="002E032B" w:rsidRDefault="002E032B" w14:paraId="429AC2B2" w14:textId="77777777">
      <w:pPr>
        <w:spacing w:after="0" w:line="240" w:lineRule="auto"/>
        <w:jc w:val="center"/>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EXECUTIVE OFFICE FOR IMMIGRATION REVIEW</w:t>
      </w:r>
      <w:r w:rsidRPr="002E032B">
        <w:rPr>
          <w:rFonts w:ascii="Times New Roman" w:hAnsi="Times New Roman" w:eastAsia="Times New Roman" w:cs="Times New Roman"/>
          <w:color w:val="000000"/>
          <w:sz w:val="24"/>
          <w:szCs w:val="24"/>
        </w:rPr>
        <w:t> </w:t>
      </w:r>
    </w:p>
    <w:p w:rsidRPr="002E032B" w:rsidR="002E032B" w:rsidP="002E032B" w:rsidRDefault="002E032B" w14:paraId="462BFEEE" w14:textId="77777777">
      <w:pPr>
        <w:spacing w:after="0" w:line="240" w:lineRule="auto"/>
        <w:jc w:val="center"/>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IMMIGRATION COURT</w:t>
      </w:r>
      <w:r w:rsidRPr="002E032B">
        <w:rPr>
          <w:rFonts w:ascii="Times New Roman" w:hAnsi="Times New Roman" w:eastAsia="Times New Roman" w:cs="Times New Roman"/>
          <w:color w:val="000000"/>
          <w:sz w:val="24"/>
          <w:szCs w:val="24"/>
        </w:rPr>
        <w:t> </w:t>
      </w:r>
    </w:p>
    <w:p w:rsidRPr="002E032B" w:rsidR="002E032B" w:rsidP="002E032B" w:rsidRDefault="002E032B" w14:paraId="20DFC941" w14:textId="77777777">
      <w:pPr>
        <w:spacing w:after="0" w:line="240" w:lineRule="auto"/>
        <w:jc w:val="center"/>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FORT SNELLING, MINNESOTA</w:t>
      </w:r>
      <w:r w:rsidRPr="002E032B">
        <w:rPr>
          <w:rFonts w:ascii="Times New Roman" w:hAnsi="Times New Roman" w:eastAsia="Times New Roman" w:cs="Times New Roman"/>
          <w:color w:val="000000"/>
          <w:sz w:val="24"/>
          <w:szCs w:val="24"/>
        </w:rPr>
        <w:t> </w:t>
      </w:r>
    </w:p>
    <w:p w:rsidRPr="002E032B" w:rsidR="002E032B" w:rsidP="002E032B" w:rsidRDefault="002E032B" w14:paraId="44387F75"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color w:val="000000"/>
          <w:sz w:val="24"/>
          <w:szCs w:val="24"/>
        </w:rPr>
        <w:t> </w:t>
      </w:r>
    </w:p>
    <w:p w:rsidRPr="002E032B" w:rsidR="002E032B" w:rsidP="002E032B" w:rsidRDefault="002E032B" w14:paraId="467E71DD"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____________________________________</w:t>
      </w:r>
      <w:r w:rsidRPr="002E032B">
        <w:rPr>
          <w:rFonts w:ascii="Times New Roman" w:hAnsi="Times New Roman" w:eastAsia="Times New Roman" w:cs="Times New Roman"/>
          <w:color w:val="000000"/>
          <w:sz w:val="24"/>
          <w:szCs w:val="24"/>
        </w:rPr>
        <w:t> </w:t>
      </w:r>
    </w:p>
    <w:p w:rsidRPr="002E032B" w:rsidR="002E032B" w:rsidP="002E032B" w:rsidRDefault="002E032B" w14:paraId="7BE2F443" w14:textId="77777777">
      <w:pPr>
        <w:spacing w:after="0" w:line="240" w:lineRule="auto"/>
        <w:ind w:left="3600" w:firstLine="720"/>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w:t>
      </w:r>
      <w:r w:rsidRPr="002E032B">
        <w:rPr>
          <w:rFonts w:ascii="Times New Roman" w:hAnsi="Times New Roman" w:eastAsia="Times New Roman" w:cs="Times New Roman"/>
          <w:color w:val="000000"/>
          <w:sz w:val="24"/>
          <w:szCs w:val="24"/>
        </w:rPr>
        <w:t> </w:t>
      </w:r>
    </w:p>
    <w:p w:rsidRPr="002E032B" w:rsidR="002E032B" w:rsidP="002E032B" w:rsidRDefault="002E032B" w14:paraId="4CC1AB65"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In the Matter of:</w:t>
      </w:r>
      <w:r w:rsidRPr="002E032B">
        <w:rPr>
          <w:rFonts w:ascii="Calibri" w:hAnsi="Calibri" w:eastAsia="Times New Roman" w:cs="Calibri"/>
          <w:color w:val="000000"/>
          <w:sz w:val="24"/>
          <w:szCs w:val="24"/>
        </w:rPr>
        <w:tab/>
      </w:r>
      <w:r w:rsidRPr="002E032B">
        <w:rPr>
          <w:rFonts w:ascii="Calibri" w:hAnsi="Calibri" w:eastAsia="Times New Roman" w:cs="Calibri"/>
        </w:rPr>
        <w:tab/>
      </w:r>
      <w:r w:rsidRPr="002E032B">
        <w:rPr>
          <w:rFonts w:ascii="Calibri" w:hAnsi="Calibri" w:eastAsia="Times New Roman" w:cs="Calibri"/>
        </w:rPr>
        <w:tab/>
      </w:r>
      <w:r w:rsidRPr="002E032B">
        <w:rPr>
          <w:rFonts w:ascii="Calibri" w:hAnsi="Calibri" w:eastAsia="Times New Roman" w:cs="Calibri"/>
        </w:rPr>
        <w:tab/>
      </w:r>
      <w:r w:rsidRPr="002E032B">
        <w:rPr>
          <w:rFonts w:ascii="Times New Roman" w:hAnsi="Times New Roman" w:eastAsia="Times New Roman" w:cs="Times New Roman"/>
          <w:b/>
          <w:bCs/>
          <w:color w:val="000000"/>
          <w:sz w:val="24"/>
          <w:szCs w:val="24"/>
        </w:rPr>
        <w:t>)</w:t>
      </w:r>
      <w:r w:rsidRPr="002E032B">
        <w:rPr>
          <w:rFonts w:ascii="Times New Roman" w:hAnsi="Times New Roman" w:eastAsia="Times New Roman" w:cs="Times New Roman"/>
          <w:color w:val="000000"/>
          <w:sz w:val="24"/>
          <w:szCs w:val="24"/>
        </w:rPr>
        <w:t> </w:t>
      </w:r>
    </w:p>
    <w:p w:rsidRPr="002E032B" w:rsidR="002E032B" w:rsidP="002E032B" w:rsidRDefault="002E032B" w14:paraId="3CD921AD" w14:textId="77777777">
      <w:pPr>
        <w:spacing w:after="0" w:line="240" w:lineRule="auto"/>
        <w:ind w:left="4320"/>
        <w:textAlignment w:val="baseline"/>
        <w:rPr>
          <w:rFonts w:ascii="Segoe UI" w:hAnsi="Segoe UI" w:eastAsia="Times New Roman" w:cs="Segoe UI"/>
          <w:sz w:val="18"/>
          <w:szCs w:val="18"/>
        </w:rPr>
      </w:pPr>
      <w:r w:rsidRPr="6889068C" w:rsidR="6889068C">
        <w:rPr>
          <w:rFonts w:ascii="Times New Roman" w:hAnsi="Times New Roman" w:eastAsia="Times New Roman" w:cs="Times New Roman"/>
          <w:b w:val="1"/>
          <w:bCs w:val="1"/>
          <w:color w:val="000000" w:themeColor="text1" w:themeTint="FF" w:themeShade="FF"/>
          <w:sz w:val="24"/>
          <w:szCs w:val="24"/>
        </w:rPr>
        <w:t>)</w:t>
      </w:r>
      <w:r w:rsidRPr="6889068C" w:rsidR="6889068C">
        <w:rPr>
          <w:rFonts w:ascii="Times New Roman" w:hAnsi="Times New Roman" w:eastAsia="Times New Roman" w:cs="Times New Roman"/>
          <w:color w:val="000000" w:themeColor="text1" w:themeTint="FF" w:themeShade="FF"/>
          <w:sz w:val="24"/>
          <w:szCs w:val="24"/>
        </w:rPr>
        <w:t> </w:t>
      </w:r>
    </w:p>
    <w:p w:rsidRPr="002E032B" w:rsidR="002E032B" w:rsidP="6889068C" w:rsidRDefault="002E032B" w14:paraId="70EDB779" w14:textId="3DE2231B">
      <w:pPr>
        <w:pStyle w:val="Normal"/>
        <w:bidi w:val="0"/>
        <w:spacing w:before="0" w:beforeAutospacing="off" w:after="0" w:afterAutospacing="off" w:line="240" w:lineRule="auto"/>
        <w:ind w:left="0" w:right="0"/>
        <w:jc w:val="left"/>
        <w:rPr>
          <w:rFonts w:ascii="Segoe UI" w:hAnsi="Segoe UI" w:eastAsia="Times New Roman" w:cs="Segoe UI"/>
          <w:sz w:val="18"/>
          <w:szCs w:val="18"/>
        </w:rPr>
      </w:pPr>
      <w:r w:rsidRPr="6889068C" w:rsidR="6889068C">
        <w:rPr>
          <w:rFonts w:ascii="Times New Roman" w:hAnsi="Times New Roman" w:eastAsia="Times New Roman" w:cs="Times New Roman"/>
          <w:b w:val="1"/>
          <w:bCs w:val="1"/>
          <w:color w:val="000000" w:themeColor="text1" w:themeTint="FF" w:themeShade="FF"/>
          <w:sz w:val="24"/>
          <w:szCs w:val="24"/>
        </w:rPr>
        <w:t>FIRST LAST</w:t>
      </w:r>
      <w:r>
        <w:tab/>
      </w:r>
      <w:r>
        <w:tab/>
      </w:r>
      <w:r>
        <w:tab/>
      </w:r>
      <w:r>
        <w:tab/>
      </w:r>
      <w:r>
        <w:tab/>
      </w:r>
      <w:r w:rsidRPr="6889068C" w:rsidR="6889068C">
        <w:rPr>
          <w:rFonts w:ascii="Times New Roman" w:hAnsi="Times New Roman" w:eastAsia="Times New Roman" w:cs="Times New Roman"/>
          <w:b w:val="1"/>
          <w:bCs w:val="1"/>
          <w:color w:val="000000" w:themeColor="text1" w:themeTint="FF" w:themeShade="FF"/>
          <w:sz w:val="24"/>
          <w:szCs w:val="24"/>
        </w:rPr>
        <w:t>)</w:t>
      </w:r>
      <w:r>
        <w:tab/>
      </w:r>
      <w:r>
        <w:tab/>
      </w:r>
      <w:r w:rsidRPr="6889068C" w:rsidR="6889068C">
        <w:rPr>
          <w:rFonts w:ascii="Times New Roman" w:hAnsi="Times New Roman" w:eastAsia="Times New Roman" w:cs="Times New Roman"/>
          <w:b w:val="1"/>
          <w:bCs w:val="1"/>
          <w:color w:val="000000" w:themeColor="text1" w:themeTint="FF" w:themeShade="FF"/>
          <w:sz w:val="24"/>
          <w:szCs w:val="24"/>
        </w:rPr>
        <w:t>File No. A 000-000-000</w:t>
      </w:r>
      <w:r w:rsidRPr="6889068C" w:rsidR="6889068C">
        <w:rPr>
          <w:rFonts w:ascii="Times New Roman" w:hAnsi="Times New Roman" w:eastAsia="Times New Roman" w:cs="Times New Roman"/>
          <w:color w:val="000000" w:themeColor="text1" w:themeTint="FF" w:themeShade="FF"/>
          <w:sz w:val="24"/>
          <w:szCs w:val="24"/>
        </w:rPr>
        <w:t> </w:t>
      </w:r>
    </w:p>
    <w:p w:rsidRPr="002E032B" w:rsidR="002E032B" w:rsidP="002E032B" w:rsidRDefault="002E032B" w14:paraId="6AA47DB0" w14:textId="77777777">
      <w:pPr>
        <w:spacing w:after="0" w:line="240" w:lineRule="auto"/>
        <w:ind w:left="4320"/>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w:t>
      </w:r>
      <w:r w:rsidRPr="002E032B">
        <w:rPr>
          <w:rFonts w:ascii="Times New Roman" w:hAnsi="Times New Roman" w:eastAsia="Times New Roman" w:cs="Times New Roman"/>
          <w:color w:val="000000"/>
          <w:sz w:val="24"/>
          <w:szCs w:val="24"/>
        </w:rPr>
        <w:t> </w:t>
      </w:r>
    </w:p>
    <w:p w:rsidRPr="002E032B" w:rsidR="002E032B" w:rsidP="002E032B" w:rsidRDefault="002E032B" w14:paraId="4376B5F5" w14:textId="77777777">
      <w:pPr>
        <w:spacing w:after="0" w:line="240" w:lineRule="auto"/>
        <w:ind w:left="3600" w:firstLine="720"/>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w:t>
      </w:r>
      <w:r w:rsidRPr="002E032B">
        <w:rPr>
          <w:rFonts w:ascii="Times New Roman" w:hAnsi="Times New Roman" w:eastAsia="Times New Roman" w:cs="Times New Roman"/>
          <w:color w:val="000000"/>
          <w:sz w:val="24"/>
          <w:szCs w:val="24"/>
        </w:rPr>
        <w:t> </w:t>
      </w:r>
    </w:p>
    <w:p w:rsidRPr="002E032B" w:rsidR="002E032B" w:rsidP="002E032B" w:rsidRDefault="002E032B" w14:paraId="3C2F5CDC"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In Removal Proceedings</w:t>
      </w:r>
      <w:r w:rsidRPr="002E032B">
        <w:rPr>
          <w:rFonts w:ascii="Calibri" w:hAnsi="Calibri" w:eastAsia="Times New Roman" w:cs="Calibri"/>
          <w:color w:val="000000"/>
          <w:sz w:val="24"/>
          <w:szCs w:val="24"/>
        </w:rPr>
        <w:tab/>
      </w:r>
      <w:r w:rsidRPr="002E032B">
        <w:rPr>
          <w:rFonts w:ascii="Calibri" w:hAnsi="Calibri" w:eastAsia="Times New Roman" w:cs="Calibri"/>
        </w:rPr>
        <w:tab/>
      </w:r>
      <w:r w:rsidRPr="002E032B">
        <w:rPr>
          <w:rFonts w:ascii="Calibri" w:hAnsi="Calibri" w:eastAsia="Times New Roman" w:cs="Calibri"/>
        </w:rPr>
        <w:tab/>
      </w:r>
      <w:r w:rsidRPr="002E032B">
        <w:rPr>
          <w:rFonts w:ascii="Times New Roman" w:hAnsi="Times New Roman" w:eastAsia="Times New Roman" w:cs="Times New Roman"/>
          <w:b/>
          <w:bCs/>
          <w:color w:val="000000"/>
          <w:sz w:val="24"/>
          <w:szCs w:val="24"/>
        </w:rPr>
        <w:t>)</w:t>
      </w:r>
      <w:r w:rsidRPr="002E032B">
        <w:rPr>
          <w:rFonts w:ascii="Times New Roman" w:hAnsi="Times New Roman" w:eastAsia="Times New Roman" w:cs="Times New Roman"/>
          <w:color w:val="000000"/>
          <w:sz w:val="24"/>
          <w:szCs w:val="24"/>
        </w:rPr>
        <w:t> </w:t>
      </w:r>
    </w:p>
    <w:p w:rsidRPr="002E032B" w:rsidR="002E032B" w:rsidP="002E032B" w:rsidRDefault="002E032B" w14:paraId="000A2A22"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color w:val="000000"/>
          <w:sz w:val="24"/>
          <w:szCs w:val="24"/>
        </w:rPr>
        <w:t>____________________________________)</w:t>
      </w:r>
      <w:r w:rsidRPr="002E032B">
        <w:rPr>
          <w:rFonts w:ascii="Times New Roman" w:hAnsi="Times New Roman" w:eastAsia="Times New Roman" w:cs="Times New Roman"/>
          <w:color w:val="000000"/>
          <w:sz w:val="24"/>
          <w:szCs w:val="24"/>
        </w:rPr>
        <w:t> </w:t>
      </w:r>
    </w:p>
    <w:p w:rsidRPr="002E032B" w:rsidR="002E032B" w:rsidP="002E032B" w:rsidRDefault="002E032B" w14:paraId="20FF1566"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sz w:val="20"/>
          <w:szCs w:val="20"/>
        </w:rPr>
        <w:t> </w:t>
      </w:r>
    </w:p>
    <w:p w:rsidRPr="002E032B" w:rsidR="002E032B" w:rsidP="002E032B" w:rsidRDefault="002E032B" w14:paraId="74E4A2A0"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0"/>
          <w:szCs w:val="20"/>
        </w:rPr>
        <w:t> </w:t>
      </w:r>
      <w:r w:rsidRPr="002E032B">
        <w:rPr>
          <w:rFonts w:ascii="Times New Roman" w:hAnsi="Times New Roman" w:eastAsia="Times New Roman" w:cs="Times New Roman"/>
          <w:sz w:val="20"/>
          <w:szCs w:val="20"/>
        </w:rPr>
        <w:t> </w:t>
      </w:r>
    </w:p>
    <w:p w:rsidRPr="002E032B" w:rsidR="002E032B" w:rsidP="002E032B" w:rsidRDefault="002E032B" w14:paraId="023FC0ED"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4"/>
          <w:szCs w:val="24"/>
        </w:rPr>
        <w:t> </w:t>
      </w:r>
      <w:r w:rsidRPr="002E032B">
        <w:rPr>
          <w:rFonts w:ascii="Times New Roman" w:hAnsi="Times New Roman" w:eastAsia="Times New Roman" w:cs="Times New Roman"/>
          <w:sz w:val="24"/>
          <w:szCs w:val="24"/>
        </w:rPr>
        <w:t> </w:t>
      </w:r>
    </w:p>
    <w:p w:rsidRPr="002E032B" w:rsidR="002E032B" w:rsidP="002E032B" w:rsidRDefault="002E032B" w14:paraId="62D8EDAE" w14:textId="00A4AF24">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Judge Katherine Hansen</w:t>
      </w:r>
      <w:r w:rsidRPr="002E032B">
        <w:rPr>
          <w:rFonts w:ascii="Times New Roman" w:hAnsi="Times New Roman" w:eastAsia="Times New Roman" w:cs="Times New Roman"/>
          <w:b/>
          <w:bCs/>
          <w:sz w:val="24"/>
          <w:szCs w:val="24"/>
        </w:rPr>
        <w:t xml:space="preserve">                                     Next Hearing: </w:t>
      </w:r>
      <w:r>
        <w:rPr>
          <w:rFonts w:ascii="Times New Roman" w:hAnsi="Times New Roman" w:eastAsia="Times New Roman" w:cs="Times New Roman"/>
          <w:b/>
          <w:bCs/>
          <w:sz w:val="24"/>
          <w:szCs w:val="24"/>
        </w:rPr>
        <w:t xml:space="preserve">June 30, </w:t>
      </w:r>
      <w:proofErr w:type="gramStart"/>
      <w:r>
        <w:rPr>
          <w:rFonts w:ascii="Times New Roman" w:hAnsi="Times New Roman" w:eastAsia="Times New Roman" w:cs="Times New Roman"/>
          <w:b/>
          <w:bCs/>
          <w:sz w:val="24"/>
          <w:szCs w:val="24"/>
        </w:rPr>
        <w:t>2022</w:t>
      </w:r>
      <w:proofErr w:type="gramEnd"/>
      <w:r>
        <w:rPr>
          <w:rFonts w:ascii="Times New Roman" w:hAnsi="Times New Roman" w:eastAsia="Times New Roman" w:cs="Times New Roman"/>
          <w:b/>
          <w:bCs/>
          <w:sz w:val="24"/>
          <w:szCs w:val="24"/>
        </w:rPr>
        <w:t xml:space="preserve"> at 10:30a.m.</w:t>
      </w:r>
    </w:p>
    <w:p w:rsidRPr="002E032B" w:rsidR="002E032B" w:rsidP="002E032B" w:rsidRDefault="002E032B" w14:paraId="37232526"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6"/>
          <w:szCs w:val="26"/>
        </w:rPr>
        <w:t> </w:t>
      </w:r>
      <w:r w:rsidRPr="002E032B">
        <w:rPr>
          <w:rFonts w:ascii="Times New Roman" w:hAnsi="Times New Roman" w:eastAsia="Times New Roman" w:cs="Times New Roman"/>
          <w:sz w:val="26"/>
          <w:szCs w:val="26"/>
        </w:rPr>
        <w:t> </w:t>
      </w:r>
    </w:p>
    <w:p w:rsidRPr="002E032B" w:rsidR="002E032B" w:rsidP="002E032B" w:rsidRDefault="002E032B" w14:paraId="5A54F3BA"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6"/>
          <w:szCs w:val="26"/>
        </w:rPr>
        <w:t> </w:t>
      </w:r>
      <w:r w:rsidRPr="002E032B">
        <w:rPr>
          <w:rFonts w:ascii="Times New Roman" w:hAnsi="Times New Roman" w:eastAsia="Times New Roman" w:cs="Times New Roman"/>
          <w:sz w:val="26"/>
          <w:szCs w:val="26"/>
        </w:rPr>
        <w:t> </w:t>
      </w:r>
    </w:p>
    <w:p w:rsidR="002E032B" w:rsidP="002E032B" w:rsidRDefault="002E032B" w14:paraId="08170702" w14:textId="7BDE7349">
      <w:pPr>
        <w:spacing w:after="0" w:line="240" w:lineRule="auto"/>
        <w:textAlignment w:val="baseline"/>
        <w:rPr>
          <w:rFonts w:ascii="Times New Roman" w:hAnsi="Times New Roman" w:eastAsia="Times New Roman" w:cs="Times New Roman"/>
          <w:sz w:val="26"/>
          <w:szCs w:val="26"/>
        </w:rPr>
      </w:pPr>
      <w:r w:rsidRPr="002E032B">
        <w:rPr>
          <w:rFonts w:ascii="Times New Roman" w:hAnsi="Times New Roman" w:eastAsia="Times New Roman" w:cs="Times New Roman"/>
          <w:b/>
          <w:bCs/>
          <w:sz w:val="26"/>
          <w:szCs w:val="26"/>
        </w:rPr>
        <w:t> </w:t>
      </w:r>
      <w:r w:rsidRPr="002E032B">
        <w:rPr>
          <w:rFonts w:ascii="Times New Roman" w:hAnsi="Times New Roman" w:eastAsia="Times New Roman" w:cs="Times New Roman"/>
          <w:sz w:val="26"/>
          <w:szCs w:val="26"/>
        </w:rPr>
        <w:t> </w:t>
      </w:r>
    </w:p>
    <w:p w:rsidR="002E032B" w:rsidP="002E032B" w:rsidRDefault="002E032B" w14:paraId="1FF9A4FE" w14:textId="473B6649">
      <w:pPr>
        <w:spacing w:after="0" w:line="240" w:lineRule="auto"/>
        <w:textAlignment w:val="baseline"/>
        <w:rPr>
          <w:rFonts w:ascii="Times New Roman" w:hAnsi="Times New Roman" w:eastAsia="Times New Roman" w:cs="Times New Roman"/>
          <w:sz w:val="26"/>
          <w:szCs w:val="26"/>
        </w:rPr>
      </w:pPr>
    </w:p>
    <w:p w:rsidR="002E032B" w:rsidP="002E032B" w:rsidRDefault="002E032B" w14:paraId="4CCFD955" w14:textId="5CD17169">
      <w:pPr>
        <w:spacing w:after="0" w:line="240" w:lineRule="auto"/>
        <w:textAlignment w:val="baseline"/>
        <w:rPr>
          <w:rFonts w:ascii="Times New Roman" w:hAnsi="Times New Roman" w:eastAsia="Times New Roman" w:cs="Times New Roman"/>
          <w:sz w:val="26"/>
          <w:szCs w:val="26"/>
        </w:rPr>
      </w:pPr>
    </w:p>
    <w:p w:rsidR="002E032B" w:rsidP="002E032B" w:rsidRDefault="002E032B" w14:paraId="69F8B9AF" w14:textId="05F86809">
      <w:pPr>
        <w:spacing w:after="0" w:line="240" w:lineRule="auto"/>
        <w:textAlignment w:val="baseline"/>
        <w:rPr>
          <w:rFonts w:ascii="Times New Roman" w:hAnsi="Times New Roman" w:eastAsia="Times New Roman" w:cs="Times New Roman"/>
          <w:sz w:val="26"/>
          <w:szCs w:val="26"/>
        </w:rPr>
      </w:pPr>
    </w:p>
    <w:p w:rsidR="002E032B" w:rsidP="002E032B" w:rsidRDefault="002E032B" w14:paraId="25BBE59B" w14:textId="346437F6">
      <w:pPr>
        <w:spacing w:after="0" w:line="240" w:lineRule="auto"/>
        <w:textAlignment w:val="baseline"/>
        <w:rPr>
          <w:rFonts w:ascii="Times New Roman" w:hAnsi="Times New Roman" w:eastAsia="Times New Roman" w:cs="Times New Roman"/>
          <w:sz w:val="26"/>
          <w:szCs w:val="26"/>
        </w:rPr>
      </w:pPr>
    </w:p>
    <w:p w:rsidR="002E032B" w:rsidP="002E032B" w:rsidRDefault="002E032B" w14:paraId="03C3AB3E" w14:textId="048D18F5">
      <w:pPr>
        <w:spacing w:after="0" w:line="240" w:lineRule="auto"/>
        <w:textAlignment w:val="baseline"/>
        <w:rPr>
          <w:rFonts w:ascii="Times New Roman" w:hAnsi="Times New Roman" w:eastAsia="Times New Roman" w:cs="Times New Roman"/>
          <w:sz w:val="26"/>
          <w:szCs w:val="26"/>
        </w:rPr>
      </w:pPr>
    </w:p>
    <w:p w:rsidR="002E032B" w:rsidP="002E032B" w:rsidRDefault="002E032B" w14:paraId="340321A8" w14:textId="772EFBC6">
      <w:pPr>
        <w:spacing w:after="0" w:line="240" w:lineRule="auto"/>
        <w:textAlignment w:val="baseline"/>
        <w:rPr>
          <w:rFonts w:ascii="Times New Roman" w:hAnsi="Times New Roman" w:eastAsia="Times New Roman" w:cs="Times New Roman"/>
          <w:sz w:val="26"/>
          <w:szCs w:val="26"/>
        </w:rPr>
      </w:pPr>
    </w:p>
    <w:p w:rsidR="002E032B" w:rsidP="002E032B" w:rsidRDefault="002E032B" w14:paraId="607DE1A6" w14:textId="58468DEC">
      <w:pPr>
        <w:spacing w:after="0" w:line="240" w:lineRule="auto"/>
        <w:textAlignment w:val="baseline"/>
        <w:rPr>
          <w:rFonts w:ascii="Times New Roman" w:hAnsi="Times New Roman" w:eastAsia="Times New Roman" w:cs="Times New Roman"/>
          <w:sz w:val="26"/>
          <w:szCs w:val="26"/>
        </w:rPr>
      </w:pPr>
    </w:p>
    <w:p w:rsidR="002E032B" w:rsidP="002E032B" w:rsidRDefault="002E032B" w14:paraId="25BF70CD" w14:textId="3C5728B0">
      <w:pPr>
        <w:spacing w:after="0" w:line="240" w:lineRule="auto"/>
        <w:textAlignment w:val="baseline"/>
        <w:rPr>
          <w:rFonts w:ascii="Times New Roman" w:hAnsi="Times New Roman" w:eastAsia="Times New Roman" w:cs="Times New Roman"/>
          <w:sz w:val="26"/>
          <w:szCs w:val="26"/>
        </w:rPr>
      </w:pPr>
    </w:p>
    <w:p w:rsidR="002E032B" w:rsidP="002E032B" w:rsidRDefault="002E032B" w14:paraId="76C0B4F6" w14:textId="59EB3714">
      <w:pPr>
        <w:spacing w:after="0" w:line="240" w:lineRule="auto"/>
        <w:textAlignment w:val="baseline"/>
        <w:rPr>
          <w:rFonts w:ascii="Times New Roman" w:hAnsi="Times New Roman" w:eastAsia="Times New Roman" w:cs="Times New Roman"/>
          <w:sz w:val="26"/>
          <w:szCs w:val="26"/>
        </w:rPr>
      </w:pPr>
    </w:p>
    <w:p w:rsidR="002E032B" w:rsidP="002E032B" w:rsidRDefault="002E032B" w14:paraId="2FACE1E5" w14:textId="1662C9B0">
      <w:pPr>
        <w:spacing w:after="0" w:line="240" w:lineRule="auto"/>
        <w:textAlignment w:val="baseline"/>
        <w:rPr>
          <w:rFonts w:ascii="Times New Roman" w:hAnsi="Times New Roman" w:eastAsia="Times New Roman" w:cs="Times New Roman"/>
          <w:sz w:val="26"/>
          <w:szCs w:val="26"/>
        </w:rPr>
      </w:pPr>
    </w:p>
    <w:p w:rsidRPr="002E032B" w:rsidR="002E032B" w:rsidP="002E032B" w:rsidRDefault="002E032B" w14:paraId="66E020F4" w14:textId="77777777">
      <w:pPr>
        <w:spacing w:after="0" w:line="240" w:lineRule="auto"/>
        <w:textAlignment w:val="baseline"/>
        <w:rPr>
          <w:rFonts w:ascii="Segoe UI" w:hAnsi="Segoe UI" w:eastAsia="Times New Roman" w:cs="Segoe UI"/>
          <w:sz w:val="18"/>
          <w:szCs w:val="18"/>
        </w:rPr>
      </w:pPr>
    </w:p>
    <w:p w:rsidRPr="002E032B" w:rsidR="002E032B" w:rsidP="002E032B" w:rsidRDefault="002E032B" w14:paraId="7674826F"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6"/>
          <w:szCs w:val="26"/>
        </w:rPr>
        <w:t> </w:t>
      </w:r>
      <w:r w:rsidRPr="002E032B">
        <w:rPr>
          <w:rFonts w:ascii="Times New Roman" w:hAnsi="Times New Roman" w:eastAsia="Times New Roman" w:cs="Times New Roman"/>
          <w:sz w:val="26"/>
          <w:szCs w:val="26"/>
        </w:rPr>
        <w:t> </w:t>
      </w:r>
    </w:p>
    <w:p w:rsidR="002E032B" w:rsidP="002E032B" w:rsidRDefault="002E032B" w14:paraId="1C87C478" w14:textId="60D8F9E6">
      <w:pPr>
        <w:jc w:val="center"/>
        <w:rPr>
          <w:rFonts w:ascii="Times New Roman" w:hAnsi="Times New Roman" w:eastAsia="Times New Roman" w:cs="Times New Roman"/>
          <w:b/>
          <w:bCs/>
          <w:sz w:val="24"/>
          <w:szCs w:val="24"/>
        </w:rPr>
      </w:pPr>
      <w:r w:rsidRPr="002E032B">
        <w:rPr>
          <w:rFonts w:ascii="Times New Roman" w:hAnsi="Times New Roman" w:eastAsia="Times New Roman" w:cs="Times New Roman"/>
          <w:b/>
          <w:bCs/>
          <w:sz w:val="24"/>
          <w:szCs w:val="24"/>
        </w:rPr>
        <w:t>RESPONDENT’S BRIEF IN SUPPORT OF HER APPLICATIONS FOR ASYLUM, WITHHOLDING AND PROTECTION UNDER THE CONVENTION AGAINST TORTURE </w:t>
      </w:r>
      <w:r>
        <w:rPr>
          <w:rFonts w:ascii="Times New Roman" w:hAnsi="Times New Roman" w:eastAsia="Times New Roman" w:cs="Times New Roman"/>
          <w:b/>
          <w:bCs/>
          <w:sz w:val="24"/>
          <w:szCs w:val="24"/>
        </w:rPr>
        <w:br w:type="page"/>
      </w:r>
    </w:p>
    <w:p w:rsidR="002E032B" w:rsidP="002E032B" w:rsidRDefault="002E032B" w14:paraId="7EF7C891" w14:textId="7D6AB129">
      <w:pPr>
        <w:pStyle w:val="ListParagraph"/>
        <w:numPr>
          <w:ilvl w:val="0"/>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lastRenderedPageBreak/>
        <w:t>FACTS AND PROCEDURAL HISTORY</w:t>
      </w:r>
    </w:p>
    <w:p w:rsidR="002E032B" w:rsidP="002E032B" w:rsidRDefault="002E032B" w14:paraId="011B6F07" w14:textId="67DC1027">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Personal History</w:t>
      </w:r>
    </w:p>
    <w:p w:rsidR="00B968D1" w:rsidP="00B968D1" w:rsidRDefault="00B968D1" w14:paraId="00649066" w14:textId="3539BC1E">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Persecution by XX</w:t>
      </w:r>
    </w:p>
    <w:p w:rsidR="00B968D1" w:rsidP="00B968D1" w:rsidRDefault="00B968D1" w14:paraId="02F2A6C4" w14:textId="36B639BB">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Persecution by Y</w:t>
      </w:r>
    </w:p>
    <w:p w:rsidR="002E032B" w:rsidP="002E032B" w:rsidRDefault="002E032B" w14:paraId="0981840C" w14:textId="4F039AB9">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Country Conditions</w:t>
      </w:r>
    </w:p>
    <w:p w:rsidR="002E032B" w:rsidP="00B968D1" w:rsidRDefault="00B968D1" w14:paraId="585378E8" w14:textId="5F20CF8B">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Political Situation</w:t>
      </w:r>
    </w:p>
    <w:p w:rsidR="00B968D1" w:rsidP="00B968D1" w:rsidRDefault="00B968D1" w14:paraId="08C6E529" w14:textId="15275889">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Conditions for [Protected Group]</w:t>
      </w:r>
    </w:p>
    <w:p w:rsidR="00B968D1" w:rsidP="00B968D1" w:rsidRDefault="00B968D1" w14:paraId="3C15388D" w14:textId="751C4006">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Conditions for [Other Serious Harm]</w:t>
      </w:r>
    </w:p>
    <w:p w:rsidR="002E032B" w:rsidP="002E032B" w:rsidRDefault="002E032B" w14:paraId="4A6B2269" w14:textId="57D12F13">
      <w:pPr>
        <w:pStyle w:val="ListParagraph"/>
        <w:numPr>
          <w:ilvl w:val="0"/>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ASYLUM ELIGIBILITY</w:t>
      </w:r>
    </w:p>
    <w:p w:rsidR="00B968D1" w:rsidP="00B968D1" w:rsidRDefault="00BB0F99" w14:paraId="0F07C05A" w14:textId="2770C194">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 IS A REFUGEE</w:t>
      </w:r>
    </w:p>
    <w:p w:rsidR="00B968D1" w:rsidP="00B968D1" w:rsidRDefault="00B968D1" w14:paraId="72C59C39" w14:textId="005A8421">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 suffered past persecution in the form of XXX by XXX</w:t>
      </w:r>
    </w:p>
    <w:p w:rsidRPr="00BB0F99" w:rsidR="00BB0F99" w:rsidP="00BB0F99" w:rsidRDefault="00BB0F99" w14:paraId="2B8B9379" w14:textId="5AE488D5">
      <w:pPr>
        <w:spacing w:line="360" w:lineRule="auto"/>
        <w:ind w:firstLine="720"/>
        <w:rPr>
          <w:rFonts w:ascii="Times New Roman" w:hAnsi="Times New Roman" w:eastAsia="Times New Roman" w:cs="Times New Roman"/>
          <w:sz w:val="24"/>
          <w:szCs w:val="24"/>
        </w:rPr>
      </w:pPr>
      <w:r w:rsidRPr="00BB0F99">
        <w:rPr>
          <w:rFonts w:ascii="Times New Roman" w:hAnsi="Times New Roman" w:eastAsia="Times New Roman" w:cs="Times New Roman"/>
          <w:sz w:val="24"/>
          <w:szCs w:val="24"/>
        </w:rPr>
        <w:t>A person suffers from past persecution when the harm occurred in their country of national origin “on account of race, religion, nationality, membership in a particular social group, or political opinion, and is unable or unwilling to return to, or avail himself or herself of the protection of, that country owing to such persecution.” 8 C.F.R. §1208.13(b)(1). The harm that was suffered must reach the threshold of being past persecution. INA §101(a)(42)(A); 8 C.F.R. §1208.13(a). Th</w:t>
      </w:r>
      <w:r>
        <w:rPr>
          <w:rFonts w:ascii="Times New Roman" w:hAnsi="Times New Roman" w:eastAsia="Times New Roman" w:cs="Times New Roman"/>
          <w:sz w:val="24"/>
          <w:szCs w:val="24"/>
        </w:rPr>
        <w:t>e</w:t>
      </w:r>
      <w:r w:rsidRPr="00BB0F99">
        <w:rPr>
          <w:rFonts w:ascii="Times New Roman" w:hAnsi="Times New Roman" w:eastAsia="Times New Roman" w:cs="Times New Roman"/>
          <w:sz w:val="24"/>
          <w:szCs w:val="24"/>
        </w:rPr>
        <w:t xml:space="preserve"> Eight</w:t>
      </w:r>
      <w:r>
        <w:rPr>
          <w:rFonts w:ascii="Times New Roman" w:hAnsi="Times New Roman" w:eastAsia="Times New Roman" w:cs="Times New Roman"/>
          <w:sz w:val="24"/>
          <w:szCs w:val="24"/>
        </w:rPr>
        <w:t>h</w:t>
      </w:r>
      <w:r w:rsidRPr="00BB0F99">
        <w:rPr>
          <w:rFonts w:ascii="Times New Roman" w:hAnsi="Times New Roman" w:eastAsia="Times New Roman" w:cs="Times New Roman"/>
          <w:sz w:val="24"/>
          <w:szCs w:val="24"/>
        </w:rPr>
        <w:t xml:space="preserve"> Circuit has held that “minor beatings and brief detentions, even detentions lasting two or three days do not amount to political persecution, even if government officials are motivated by political animus.” </w:t>
      </w:r>
      <w:r w:rsidRPr="00BB0F99">
        <w:rPr>
          <w:rFonts w:ascii="Times New Roman" w:hAnsi="Times New Roman" w:eastAsia="Times New Roman" w:cs="Times New Roman"/>
          <w:i/>
          <w:iCs/>
          <w:sz w:val="24"/>
          <w:szCs w:val="24"/>
        </w:rPr>
        <w:t>Eusebio v. Ashcroft</w:t>
      </w:r>
      <w:r w:rsidRPr="00BB0F99">
        <w:rPr>
          <w:rFonts w:ascii="Times New Roman" w:hAnsi="Times New Roman" w:eastAsia="Times New Roman" w:cs="Times New Roman"/>
          <w:sz w:val="24"/>
          <w:szCs w:val="24"/>
        </w:rPr>
        <w:t>, 361 F.3d 1088. 1090 (8</w:t>
      </w:r>
      <w:r w:rsidRPr="00BB0F99">
        <w:rPr>
          <w:rFonts w:ascii="Times New Roman" w:hAnsi="Times New Roman" w:eastAsia="Times New Roman" w:cs="Times New Roman"/>
          <w:sz w:val="24"/>
          <w:szCs w:val="24"/>
          <w:vertAlign w:val="superscript"/>
        </w:rPr>
        <w:t>th</w:t>
      </w:r>
      <w:r w:rsidRPr="00BB0F99">
        <w:rPr>
          <w:rFonts w:ascii="Times New Roman" w:hAnsi="Times New Roman" w:eastAsia="Times New Roman" w:cs="Times New Roman"/>
          <w:sz w:val="24"/>
          <w:szCs w:val="24"/>
        </w:rPr>
        <w:t xml:space="preserve"> Cir 2004). </w:t>
      </w:r>
      <w:r w:rsidRPr="00832710">
        <w:rPr>
          <w:rFonts w:ascii="Times New Roman" w:hAnsi="Times New Roman" w:eastAsia="Times New Roman" w:cs="Times New Roman"/>
          <w:sz w:val="24"/>
          <w:szCs w:val="24"/>
        </w:rPr>
        <w:t xml:space="preserve">However, </w:t>
      </w:r>
      <w:r w:rsidRPr="00832710" w:rsidR="00832710">
        <w:rPr>
          <w:rStyle w:val="normaltextrun"/>
          <w:rFonts w:ascii="Times New Roman" w:hAnsi="Times New Roman" w:cs="Times New Roman"/>
          <w:color w:val="000000"/>
          <w:sz w:val="24"/>
          <w:szCs w:val="24"/>
          <w:shd w:val="clear" w:color="auto" w:fill="FFFFFF"/>
        </w:rPr>
        <w:t xml:space="preserve">threats </w:t>
      </w:r>
      <w:r w:rsidR="00832710">
        <w:rPr>
          <w:rStyle w:val="normaltextrun"/>
          <w:rFonts w:ascii="Times New Roman" w:hAnsi="Times New Roman" w:cs="Times New Roman"/>
          <w:color w:val="000000"/>
          <w:sz w:val="24"/>
          <w:szCs w:val="24"/>
          <w:shd w:val="clear" w:color="auto" w:fill="FFFFFF"/>
        </w:rPr>
        <w:t xml:space="preserve">alone can constitute persecution if they are specific and likely to be carried out.  </w:t>
      </w:r>
      <w:proofErr w:type="gramStart"/>
      <w:r w:rsidRPr="00832710" w:rsidR="00832710">
        <w:rPr>
          <w:rStyle w:val="normaltextrun"/>
          <w:rFonts w:ascii="Times New Roman" w:hAnsi="Times New Roman" w:cs="Times New Roman"/>
          <w:color w:val="000000"/>
          <w:sz w:val="24"/>
          <w:szCs w:val="24"/>
          <w:shd w:val="clear" w:color="auto" w:fill="FFFFFF"/>
        </w:rPr>
        <w:t>(</w:t>
      </w:r>
      <w:proofErr w:type="gramEnd"/>
      <w:r w:rsidRPr="00832710" w:rsidR="00832710">
        <w:rPr>
          <w:rStyle w:val="normaltextrun"/>
          <w:rFonts w:ascii="Times New Roman" w:hAnsi="Times New Roman" w:cs="Times New Roman"/>
          <w:color w:val="000000"/>
          <w:sz w:val="24"/>
          <w:szCs w:val="24"/>
          <w:shd w:val="clear" w:color="auto" w:fill="FFFFFF"/>
        </w:rPr>
        <w:t xml:space="preserve">See </w:t>
      </w:r>
      <w:r w:rsidRPr="00832710" w:rsidR="00832710">
        <w:rPr>
          <w:rStyle w:val="normaltextrun"/>
          <w:rFonts w:ascii="Times New Roman" w:hAnsi="Times New Roman" w:cs="Times New Roman"/>
          <w:i/>
          <w:iCs/>
          <w:color w:val="000000"/>
          <w:sz w:val="24"/>
          <w:szCs w:val="24"/>
          <w:shd w:val="clear" w:color="auto" w:fill="FFFFFF"/>
        </w:rPr>
        <w:t>Matter of T-Z-</w:t>
      </w:r>
      <w:r w:rsidRPr="00832710" w:rsidR="00832710">
        <w:rPr>
          <w:rStyle w:val="normaltextrun"/>
          <w:rFonts w:ascii="Times New Roman" w:hAnsi="Times New Roman" w:cs="Times New Roman"/>
          <w:color w:val="000000"/>
          <w:sz w:val="24"/>
          <w:szCs w:val="24"/>
          <w:shd w:val="clear" w:color="auto" w:fill="FFFFFF"/>
        </w:rPr>
        <w:t>, 24 I&amp;N Dec. 163 (BIA 2007))</w:t>
      </w:r>
      <w:r w:rsidRPr="00832710">
        <w:rPr>
          <w:rFonts w:ascii="Times New Roman" w:hAnsi="Times New Roman" w:eastAsia="Times New Roman" w:cs="Times New Roman"/>
          <w:sz w:val="24"/>
          <w:szCs w:val="24"/>
        </w:rPr>
        <w:t>.</w:t>
      </w:r>
      <w:r w:rsidRPr="00BB0F99">
        <w:rPr>
          <w:rFonts w:ascii="Times New Roman" w:hAnsi="Times New Roman" w:eastAsia="Times New Roman" w:cs="Times New Roman"/>
          <w:sz w:val="24"/>
          <w:szCs w:val="24"/>
        </w:rPr>
        <w:t xml:space="preserve">  </w:t>
      </w:r>
    </w:p>
    <w:p w:rsidR="00B968D1" w:rsidP="00B968D1" w:rsidRDefault="00832710" w14:paraId="406134BF" w14:textId="7426419B">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Economic harm</w:t>
      </w:r>
      <w:r w:rsidR="00B968D1">
        <w:rPr>
          <w:rFonts w:ascii="Times New Roman" w:hAnsi="Times New Roman" w:eastAsia="Times New Roman" w:cs="Times New Roman"/>
          <w:b/>
          <w:bCs/>
          <w:sz w:val="24"/>
          <w:szCs w:val="24"/>
        </w:rPr>
        <w:t xml:space="preserve"> constitutes past persecution</w:t>
      </w:r>
    </w:p>
    <w:p w:rsidRPr="00832710" w:rsidR="00832710" w:rsidP="00832710" w:rsidRDefault="00832710" w14:paraId="7AAFC05B" w14:textId="5AA3EE60">
      <w:pPr>
        <w:spacing w:line="360" w:lineRule="auto"/>
        <w:ind w:firstLine="720"/>
        <w:rPr>
          <w:rFonts w:ascii="Times New Roman" w:hAnsi="Times New Roman" w:eastAsia="Times New Roman" w:cs="Times New Roman"/>
          <w:b/>
          <w:bCs/>
          <w:sz w:val="24"/>
          <w:szCs w:val="24"/>
        </w:rPr>
      </w:pPr>
      <w:r w:rsidRPr="00832710">
        <w:rPr>
          <w:rStyle w:val="normaltextrun"/>
          <w:rFonts w:ascii="Times New Roman" w:hAnsi="Times New Roman" w:cs="Times New Roman"/>
          <w:color w:val="000000"/>
          <w:sz w:val="24"/>
          <w:szCs w:val="24"/>
          <w:shd w:val="clear" w:color="auto" w:fill="FFFFFF"/>
        </w:rPr>
        <w:t xml:space="preserve">Non-physical harm of economic discrimination can be persecution if the effects are extreme. </w:t>
      </w:r>
      <w:r w:rsidRPr="00832710">
        <w:rPr>
          <w:rStyle w:val="normaltextrun"/>
          <w:rFonts w:ascii="Times New Roman" w:hAnsi="Times New Roman" w:cs="Times New Roman"/>
          <w:i/>
          <w:iCs/>
          <w:color w:val="000000"/>
          <w:sz w:val="24"/>
          <w:szCs w:val="24"/>
          <w:shd w:val="clear" w:color="auto" w:fill="FFFFFF"/>
        </w:rPr>
        <w:t>Mater of T-Z-</w:t>
      </w:r>
      <w:r w:rsidRPr="00832710">
        <w:rPr>
          <w:rStyle w:val="normaltextrun"/>
          <w:rFonts w:ascii="Times New Roman" w:hAnsi="Times New Roman" w:cs="Times New Roman"/>
          <w:color w:val="000000"/>
          <w:sz w:val="24"/>
          <w:szCs w:val="24"/>
          <w:shd w:val="clear" w:color="auto" w:fill="FFFFFF"/>
        </w:rPr>
        <w:t xml:space="preserve">, 24 I&amp;N Dec. 163, 171-173 (BIA 2007). In </w:t>
      </w:r>
      <w:proofErr w:type="spellStart"/>
      <w:r w:rsidRPr="00832710">
        <w:rPr>
          <w:rStyle w:val="normaltextrun"/>
          <w:rFonts w:ascii="Times New Roman" w:hAnsi="Times New Roman" w:cs="Times New Roman"/>
          <w:i/>
          <w:iCs/>
          <w:color w:val="000000"/>
          <w:sz w:val="24"/>
          <w:szCs w:val="24"/>
          <w:shd w:val="clear" w:color="auto" w:fill="FFFFFF"/>
        </w:rPr>
        <w:t>Mirisawo</w:t>
      </w:r>
      <w:proofErr w:type="spellEnd"/>
      <w:r w:rsidRPr="00832710">
        <w:rPr>
          <w:rStyle w:val="normaltextrun"/>
          <w:rFonts w:ascii="Times New Roman" w:hAnsi="Times New Roman" w:cs="Times New Roman"/>
          <w:i/>
          <w:iCs/>
          <w:color w:val="000000"/>
          <w:sz w:val="24"/>
          <w:szCs w:val="24"/>
          <w:shd w:val="clear" w:color="auto" w:fill="FFFFFF"/>
        </w:rPr>
        <w:t xml:space="preserve"> v. Holder, </w:t>
      </w:r>
      <w:r w:rsidRPr="00832710">
        <w:rPr>
          <w:rStyle w:val="normaltextrun"/>
          <w:rFonts w:ascii="Times New Roman" w:hAnsi="Times New Roman" w:cs="Times New Roman"/>
          <w:color w:val="000000"/>
          <w:sz w:val="24"/>
          <w:szCs w:val="24"/>
          <w:shd w:val="clear" w:color="auto" w:fill="FFFFFF"/>
        </w:rPr>
        <w:t xml:space="preserve">the court found that economic persecution can be established by a deliberate and severe depravation of </w:t>
      </w:r>
      <w:proofErr w:type="gramStart"/>
      <w:r w:rsidRPr="00832710">
        <w:rPr>
          <w:rStyle w:val="normaltextrun"/>
          <w:rFonts w:ascii="Times New Roman" w:hAnsi="Times New Roman" w:cs="Times New Roman"/>
          <w:color w:val="000000"/>
          <w:sz w:val="24"/>
          <w:szCs w:val="24"/>
          <w:shd w:val="clear" w:color="auto" w:fill="FFFFFF"/>
        </w:rPr>
        <w:t>basic necessities</w:t>
      </w:r>
      <w:proofErr w:type="gramEnd"/>
      <w:r w:rsidRPr="00832710">
        <w:rPr>
          <w:rStyle w:val="normaltextrun"/>
          <w:rFonts w:ascii="Times New Roman" w:hAnsi="Times New Roman" w:cs="Times New Roman"/>
          <w:color w:val="000000"/>
          <w:sz w:val="24"/>
          <w:szCs w:val="24"/>
          <w:shd w:val="clear" w:color="auto" w:fill="FFFFFF"/>
        </w:rPr>
        <w:t xml:space="preserve"> or a deliberate imposition of severe financial disadvantage. 599 F.3d 391 (4</w:t>
      </w:r>
      <w:r w:rsidRPr="00832710">
        <w:rPr>
          <w:rStyle w:val="normaltextrun"/>
          <w:rFonts w:ascii="Times New Roman" w:hAnsi="Times New Roman" w:cs="Times New Roman"/>
          <w:color w:val="000000"/>
          <w:sz w:val="24"/>
          <w:szCs w:val="24"/>
          <w:shd w:val="clear" w:color="auto" w:fill="FFFFFF"/>
          <w:vertAlign w:val="superscript"/>
        </w:rPr>
        <w:t>th</w:t>
      </w:r>
      <w:r w:rsidRPr="00832710">
        <w:rPr>
          <w:rStyle w:val="normaltextrun"/>
          <w:rFonts w:ascii="Times New Roman" w:hAnsi="Times New Roman" w:cs="Times New Roman"/>
          <w:color w:val="000000"/>
          <w:sz w:val="24"/>
          <w:szCs w:val="24"/>
          <w:shd w:val="clear" w:color="auto" w:fill="FFFFFF"/>
        </w:rPr>
        <w:t xml:space="preserve"> Cir. 2010). </w:t>
      </w:r>
      <w:r w:rsidRPr="00832710">
        <w:rPr>
          <w:rStyle w:val="eop"/>
          <w:rFonts w:ascii="Times New Roman" w:hAnsi="Times New Roman" w:cs="Times New Roman"/>
          <w:color w:val="000000"/>
          <w:sz w:val="24"/>
          <w:szCs w:val="24"/>
          <w:shd w:val="clear" w:color="auto" w:fill="FFFFFF"/>
        </w:rPr>
        <w:t> </w:t>
      </w:r>
    </w:p>
    <w:p w:rsidR="00B968D1" w:rsidP="00B968D1" w:rsidRDefault="00B968D1" w14:paraId="32B929D7" w14:textId="3129AD72">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[Harm] also constitutes past persecution</w:t>
      </w:r>
    </w:p>
    <w:p w:rsidR="00B968D1" w:rsidP="00B968D1" w:rsidRDefault="00B968D1" w14:paraId="26EFB154" w14:textId="785E8513">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 has a well-founded fear of future persecution</w:t>
      </w:r>
    </w:p>
    <w:p w:rsidR="00B968D1" w:rsidP="00B968D1" w:rsidRDefault="00B968D1" w14:paraId="5D242AB4" w14:textId="767C3042">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The persecution and fears </w:t>
      </w:r>
      <w:r w:rsidR="00072FCE">
        <w:rPr>
          <w:rFonts w:ascii="Times New Roman" w:hAnsi="Times New Roman" w:eastAsia="Times New Roman" w:cs="Times New Roman"/>
          <w:b/>
          <w:bCs/>
          <w:sz w:val="24"/>
          <w:szCs w:val="24"/>
        </w:rPr>
        <w:t>are</w:t>
      </w:r>
      <w:r>
        <w:rPr>
          <w:rFonts w:ascii="Times New Roman" w:hAnsi="Times New Roman" w:eastAsia="Times New Roman" w:cs="Times New Roman"/>
          <w:b/>
          <w:bCs/>
          <w:sz w:val="24"/>
          <w:szCs w:val="24"/>
        </w:rPr>
        <w:t xml:space="preserve"> on account of a protected ground under </w:t>
      </w:r>
      <w:r w:rsidRPr="00072FCE" w:rsidR="00072FCE">
        <w:rPr>
          <w:rFonts w:ascii="Times New Roman" w:hAnsi="Times New Roman" w:eastAsia="Times New Roman" w:cs="Times New Roman"/>
          <w:b/>
          <w:bCs/>
          <w:sz w:val="24"/>
          <w:szCs w:val="24"/>
        </w:rPr>
        <w:t>INA § 101(a)(42)(A)</w:t>
      </w:r>
    </w:p>
    <w:p w:rsidRPr="00072FCE" w:rsidR="00072FCE" w:rsidP="00072FCE" w:rsidRDefault="00072FCE" w14:paraId="26787328" w14:textId="77777777">
      <w:pPr>
        <w:spacing w:after="0" w:line="360" w:lineRule="auto"/>
        <w:ind w:firstLine="720"/>
        <w:textAlignment w:val="baseline"/>
        <w:rPr>
          <w:rFonts w:ascii="Segoe UI" w:hAnsi="Segoe UI" w:eastAsia="Times New Roman" w:cs="Segoe UI"/>
          <w:sz w:val="18"/>
          <w:szCs w:val="18"/>
        </w:rPr>
      </w:pPr>
      <w:r w:rsidRPr="00072FCE">
        <w:rPr>
          <w:rFonts w:ascii="Times New Roman" w:hAnsi="Times New Roman" w:eastAsia="Times New Roman" w:cs="Times New Roman"/>
          <w:color w:val="000000"/>
          <w:sz w:val="24"/>
          <w:szCs w:val="24"/>
        </w:rPr>
        <w:t xml:space="preserve">Respondent’s well-founded fear of persecution is based on four separate grounds enumerated in INA § 101(a)(42)(A): (a) XXX; (b) </w:t>
      </w:r>
      <w:proofErr w:type="gramStart"/>
      <w:r w:rsidRPr="00072FCE">
        <w:rPr>
          <w:rFonts w:ascii="Times New Roman" w:hAnsi="Times New Roman" w:eastAsia="Times New Roman" w:cs="Times New Roman"/>
          <w:color w:val="000000"/>
          <w:sz w:val="24"/>
          <w:szCs w:val="24"/>
        </w:rPr>
        <w:t>XXX;  (</w:t>
      </w:r>
      <w:proofErr w:type="gramEnd"/>
      <w:r w:rsidRPr="00072FCE">
        <w:rPr>
          <w:rFonts w:ascii="Times New Roman" w:hAnsi="Times New Roman" w:eastAsia="Times New Roman" w:cs="Times New Roman"/>
          <w:color w:val="000000"/>
          <w:sz w:val="24"/>
          <w:szCs w:val="24"/>
        </w:rPr>
        <w:t>c)XXX </w:t>
      </w:r>
    </w:p>
    <w:p w:rsidRPr="00072FCE" w:rsidR="00072FCE" w:rsidP="00072FCE" w:rsidRDefault="00072FCE" w14:paraId="2B37DFCA" w14:textId="6A475EEA">
      <w:pPr>
        <w:spacing w:after="0" w:line="360" w:lineRule="auto"/>
        <w:textAlignment w:val="baseline"/>
        <w:rPr>
          <w:rFonts w:ascii="Segoe UI" w:hAnsi="Segoe UI" w:eastAsia="Times New Roman" w:cs="Segoe UI"/>
          <w:sz w:val="18"/>
          <w:szCs w:val="18"/>
        </w:rPr>
      </w:pPr>
      <w:r w:rsidRPr="00072FCE">
        <w:rPr>
          <w:rFonts w:ascii="Times New Roman" w:hAnsi="Times New Roman" w:eastAsia="Times New Roman" w:cs="Times New Roman"/>
          <w:color w:val="000000"/>
          <w:sz w:val="24"/>
          <w:szCs w:val="24"/>
        </w:rPr>
        <w:lastRenderedPageBreak/>
        <w:t> </w:t>
      </w:r>
      <w:r>
        <w:rPr>
          <w:rFonts w:ascii="Times New Roman" w:hAnsi="Times New Roman" w:eastAsia="Times New Roman" w:cs="Times New Roman"/>
          <w:color w:val="000000"/>
          <w:sz w:val="24"/>
          <w:szCs w:val="24"/>
        </w:rPr>
        <w:tab/>
      </w:r>
      <w:r w:rsidRPr="00072FCE">
        <w:rPr>
          <w:rFonts w:ascii="Times New Roman" w:hAnsi="Times New Roman" w:eastAsia="Times New Roman" w:cs="Times New Roman"/>
          <w:color w:val="000000"/>
          <w:sz w:val="24"/>
          <w:szCs w:val="24"/>
        </w:rPr>
        <w:t xml:space="preserve">To qualify for asylum, an applicant’s past persecution must have been “on account” of at least one protected ground. 8 U.S.C. § 1101(a)(42)(A). This does not mean, however, that the persecution must have been </w:t>
      </w:r>
      <w:r w:rsidRPr="00072FCE">
        <w:rPr>
          <w:rFonts w:ascii="Times New Roman" w:hAnsi="Times New Roman" w:eastAsia="Times New Roman" w:cs="Times New Roman"/>
          <w:i/>
          <w:iCs/>
          <w:color w:val="000000"/>
          <w:sz w:val="24"/>
          <w:szCs w:val="24"/>
        </w:rPr>
        <w:t>exclusively</w:t>
      </w:r>
      <w:r w:rsidRPr="00072FCE">
        <w:rPr>
          <w:rFonts w:ascii="Times New Roman" w:hAnsi="Times New Roman" w:eastAsia="Times New Roman" w:cs="Times New Roman"/>
          <w:color w:val="000000"/>
          <w:sz w:val="24"/>
          <w:szCs w:val="24"/>
        </w:rPr>
        <w:t xml:space="preserve"> motivated by a protected ground. To the contrary, “persecution due to a statutorily protected ground may provide a basis for a finding of refugee status even though other, nonprotected criteria might have provided additional motivation for the persecutor's actions.” </w:t>
      </w:r>
      <w:r w:rsidRPr="00072FCE">
        <w:rPr>
          <w:rFonts w:ascii="Times New Roman" w:hAnsi="Times New Roman" w:eastAsia="Times New Roman" w:cs="Times New Roman"/>
          <w:i/>
          <w:iCs/>
          <w:color w:val="000000"/>
          <w:sz w:val="24"/>
          <w:szCs w:val="24"/>
        </w:rPr>
        <w:t>De Brenner v. Ashcroft</w:t>
      </w:r>
      <w:r w:rsidRPr="00072FCE">
        <w:rPr>
          <w:rFonts w:ascii="Times New Roman" w:hAnsi="Times New Roman" w:eastAsia="Times New Roman" w:cs="Times New Roman"/>
          <w:color w:val="000000"/>
          <w:sz w:val="24"/>
          <w:szCs w:val="24"/>
        </w:rPr>
        <w:t>, 388 F.3d 629, 636 (8th Cir. 2004);</w:t>
      </w:r>
      <w:r w:rsidRPr="00072FCE">
        <w:rPr>
          <w:rFonts w:ascii="Times New Roman" w:hAnsi="Times New Roman" w:eastAsia="Times New Roman" w:cs="Times New Roman"/>
          <w:i/>
          <w:iCs/>
          <w:color w:val="000000"/>
          <w:sz w:val="24"/>
          <w:szCs w:val="24"/>
        </w:rPr>
        <w:t xml:space="preserve"> see also Lopez-</w:t>
      </w:r>
      <w:proofErr w:type="spellStart"/>
      <w:r w:rsidRPr="00072FCE">
        <w:rPr>
          <w:rFonts w:ascii="Times New Roman" w:hAnsi="Times New Roman" w:eastAsia="Times New Roman" w:cs="Times New Roman"/>
          <w:i/>
          <w:iCs/>
          <w:color w:val="000000"/>
          <w:sz w:val="24"/>
          <w:szCs w:val="24"/>
        </w:rPr>
        <w:t>Cortaza</w:t>
      </w:r>
      <w:proofErr w:type="spellEnd"/>
      <w:r w:rsidRPr="00072FCE">
        <w:rPr>
          <w:rFonts w:ascii="Times New Roman" w:hAnsi="Times New Roman" w:eastAsia="Times New Roman" w:cs="Times New Roman"/>
          <w:i/>
          <w:iCs/>
          <w:color w:val="000000"/>
          <w:sz w:val="24"/>
          <w:szCs w:val="24"/>
        </w:rPr>
        <w:t xml:space="preserve"> v. Sessions</w:t>
      </w:r>
      <w:r w:rsidRPr="00072FCE">
        <w:rPr>
          <w:rFonts w:ascii="Times New Roman" w:hAnsi="Times New Roman" w:eastAsia="Times New Roman" w:cs="Times New Roman"/>
          <w:color w:val="000000"/>
          <w:sz w:val="24"/>
          <w:szCs w:val="24"/>
        </w:rPr>
        <w:t xml:space="preserve">, 739 F. </w:t>
      </w:r>
      <w:proofErr w:type="spellStart"/>
      <w:r w:rsidRPr="00072FCE">
        <w:rPr>
          <w:rFonts w:ascii="Times New Roman" w:hAnsi="Times New Roman" w:eastAsia="Times New Roman" w:cs="Times New Roman"/>
          <w:color w:val="000000"/>
          <w:sz w:val="24"/>
          <w:szCs w:val="24"/>
        </w:rPr>
        <w:t>App'x</w:t>
      </w:r>
      <w:proofErr w:type="spellEnd"/>
      <w:r w:rsidRPr="00072FCE">
        <w:rPr>
          <w:rFonts w:ascii="Times New Roman" w:hAnsi="Times New Roman" w:eastAsia="Times New Roman" w:cs="Times New Roman"/>
          <w:color w:val="000000"/>
          <w:sz w:val="24"/>
          <w:szCs w:val="24"/>
        </w:rPr>
        <w:t xml:space="preserve"> 855, 860 (8th Cir. 2018) (“[P]</w:t>
      </w:r>
      <w:proofErr w:type="spellStart"/>
      <w:r w:rsidRPr="00072FCE">
        <w:rPr>
          <w:rFonts w:ascii="Times New Roman" w:hAnsi="Times New Roman" w:eastAsia="Times New Roman" w:cs="Times New Roman"/>
          <w:color w:val="000000"/>
          <w:sz w:val="24"/>
          <w:szCs w:val="24"/>
        </w:rPr>
        <w:t>ersecutions</w:t>
      </w:r>
      <w:proofErr w:type="spellEnd"/>
      <w:r w:rsidRPr="00072FCE">
        <w:rPr>
          <w:rFonts w:ascii="Times New Roman" w:hAnsi="Times New Roman" w:eastAsia="Times New Roman" w:cs="Times New Roman"/>
          <w:color w:val="000000"/>
          <w:sz w:val="24"/>
          <w:szCs w:val="24"/>
        </w:rPr>
        <w:t xml:space="preserve"> can stem from mixed motives, and the finding of a particular motive ‘do[es] not . . . preclude a finding of additional motives that may concern a protected ground.’” (quoting </w:t>
      </w:r>
      <w:r w:rsidRPr="00072FCE">
        <w:rPr>
          <w:rFonts w:ascii="Times New Roman" w:hAnsi="Times New Roman" w:eastAsia="Times New Roman" w:cs="Times New Roman"/>
          <w:i/>
          <w:iCs/>
          <w:color w:val="000000"/>
          <w:sz w:val="24"/>
          <w:szCs w:val="24"/>
        </w:rPr>
        <w:t>Marroquin-</w:t>
      </w:r>
      <w:proofErr w:type="spellStart"/>
      <w:r w:rsidRPr="00072FCE">
        <w:rPr>
          <w:rFonts w:ascii="Times New Roman" w:hAnsi="Times New Roman" w:eastAsia="Times New Roman" w:cs="Times New Roman"/>
          <w:i/>
          <w:iCs/>
          <w:color w:val="000000"/>
          <w:sz w:val="24"/>
          <w:szCs w:val="24"/>
        </w:rPr>
        <w:t>Ochoma</w:t>
      </w:r>
      <w:proofErr w:type="spellEnd"/>
      <w:r w:rsidRPr="00072FCE">
        <w:rPr>
          <w:rFonts w:ascii="Times New Roman" w:hAnsi="Times New Roman" w:eastAsia="Times New Roman" w:cs="Times New Roman"/>
          <w:i/>
          <w:iCs/>
          <w:color w:val="000000"/>
          <w:sz w:val="24"/>
          <w:szCs w:val="24"/>
        </w:rPr>
        <w:t xml:space="preserve"> v. Holder</w:t>
      </w:r>
      <w:r w:rsidRPr="00072FCE">
        <w:rPr>
          <w:rFonts w:ascii="Times New Roman" w:hAnsi="Times New Roman" w:eastAsia="Times New Roman" w:cs="Times New Roman"/>
          <w:color w:val="000000"/>
          <w:sz w:val="24"/>
          <w:szCs w:val="24"/>
        </w:rPr>
        <w:t>, 574 F.3d 574, 577 (8th Cir. 2009)). </w:t>
      </w:r>
    </w:p>
    <w:p w:rsidRPr="00072FCE" w:rsidR="00072FCE" w:rsidP="00072FCE" w:rsidRDefault="00072FCE" w14:paraId="59B20A3B" w14:textId="77777777">
      <w:pPr>
        <w:rPr>
          <w:rFonts w:ascii="Times New Roman" w:hAnsi="Times New Roman" w:eastAsia="Times New Roman" w:cs="Times New Roman"/>
          <w:b/>
          <w:bCs/>
          <w:sz w:val="24"/>
          <w:szCs w:val="24"/>
        </w:rPr>
      </w:pPr>
    </w:p>
    <w:p w:rsidR="00072FCE" w:rsidP="00072FCE" w:rsidRDefault="00072FCE" w14:paraId="7643F800" w14:textId="5883A83F">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Respondent’s </w:t>
      </w:r>
      <w:r w:rsidR="00CC2F93">
        <w:rPr>
          <w:rFonts w:ascii="Times New Roman" w:hAnsi="Times New Roman" w:eastAsia="Times New Roman" w:cs="Times New Roman"/>
          <w:b/>
          <w:bCs/>
          <w:sz w:val="24"/>
          <w:szCs w:val="24"/>
        </w:rPr>
        <w:t>imputed political opinion</w:t>
      </w:r>
      <w:r>
        <w:rPr>
          <w:rFonts w:ascii="Times New Roman" w:hAnsi="Times New Roman" w:eastAsia="Times New Roman" w:cs="Times New Roman"/>
          <w:b/>
          <w:bCs/>
          <w:sz w:val="24"/>
          <w:szCs w:val="24"/>
        </w:rPr>
        <w:t xml:space="preserve"> gives rise to a well-founded fear of persecution</w:t>
      </w:r>
    </w:p>
    <w:p w:rsidRPr="00CC2F93" w:rsidR="00CC2F93" w:rsidP="00CC2F93" w:rsidRDefault="00CC2F93" w14:paraId="0B72CC63" w14:textId="77777777">
      <w:pPr>
        <w:spacing w:after="0" w:line="360" w:lineRule="auto"/>
        <w:ind w:firstLine="720"/>
        <w:jc w:val="both"/>
        <w:textAlignment w:val="baseline"/>
        <w:rPr>
          <w:rFonts w:ascii="Segoe UI" w:hAnsi="Segoe UI" w:eastAsia="Times New Roman" w:cs="Segoe UI"/>
          <w:sz w:val="18"/>
          <w:szCs w:val="18"/>
        </w:rPr>
      </w:pPr>
      <w:r w:rsidRPr="00CC2F93">
        <w:rPr>
          <w:rFonts w:ascii="Times New Roman" w:hAnsi="Times New Roman" w:eastAsia="Times New Roman" w:cs="Times New Roman"/>
          <w:color w:val="000000"/>
          <w:sz w:val="24"/>
          <w:szCs w:val="24"/>
        </w:rPr>
        <w:t xml:space="preserve">An asylum seeker can receive protection when their persecution, or fear of future persecution, is based on their actual political opinion or on a political opinion imputed to them by their persecutor. </w:t>
      </w:r>
      <w:r w:rsidRPr="00CC2F93">
        <w:rPr>
          <w:rFonts w:ascii="Times New Roman" w:hAnsi="Times New Roman" w:eastAsia="Times New Roman" w:cs="Times New Roman"/>
          <w:i/>
          <w:iCs/>
          <w:color w:val="000000"/>
          <w:sz w:val="24"/>
          <w:szCs w:val="24"/>
        </w:rPr>
        <w:t>See</w:t>
      </w:r>
      <w:r w:rsidRPr="00CC2F93">
        <w:rPr>
          <w:rFonts w:ascii="Times New Roman" w:hAnsi="Times New Roman" w:eastAsia="Times New Roman" w:cs="Times New Roman"/>
          <w:color w:val="000000"/>
          <w:sz w:val="24"/>
          <w:szCs w:val="24"/>
        </w:rPr>
        <w:t xml:space="preserve"> </w:t>
      </w:r>
      <w:proofErr w:type="spellStart"/>
      <w:r w:rsidRPr="00CC2F93">
        <w:rPr>
          <w:rFonts w:ascii="Times New Roman" w:hAnsi="Times New Roman" w:eastAsia="Times New Roman" w:cs="Times New Roman"/>
          <w:i/>
          <w:iCs/>
          <w:color w:val="000000"/>
          <w:sz w:val="24"/>
          <w:szCs w:val="24"/>
        </w:rPr>
        <w:t>DeBrenner</w:t>
      </w:r>
      <w:proofErr w:type="spellEnd"/>
      <w:r w:rsidRPr="00CC2F93">
        <w:rPr>
          <w:rFonts w:ascii="Times New Roman" w:hAnsi="Times New Roman" w:eastAsia="Times New Roman" w:cs="Times New Roman"/>
          <w:i/>
          <w:iCs/>
          <w:color w:val="000000"/>
          <w:sz w:val="24"/>
          <w:szCs w:val="24"/>
        </w:rPr>
        <w:t xml:space="preserve"> v. Ashcroft</w:t>
      </w:r>
      <w:r w:rsidRPr="00CC2F93">
        <w:rPr>
          <w:rFonts w:ascii="Times New Roman" w:hAnsi="Times New Roman" w:eastAsia="Times New Roman" w:cs="Times New Roman"/>
          <w:color w:val="000000"/>
          <w:sz w:val="24"/>
          <w:szCs w:val="24"/>
        </w:rPr>
        <w:t>, 388 F.3d 629 (8th Cir. 2004) (finding persecution due to political opinions imputed to petitioner by the guerillas and the government where Peruvian Shining Path guerillas mistakenly singled her out as a supporter of the APR). Under international law, the concept of “political opinion” as a ground for recognition as a refugee “should be interpreted in a broad sense, as encompassing any opinion concerning matters on which the machinery of the state, government or society is engaged. It goes beyond identification with a specific political party or recognized ideology.”</w:t>
      </w:r>
      <w:r w:rsidRPr="00CC2F93">
        <w:rPr>
          <w:rFonts w:ascii="Times New Roman" w:hAnsi="Times New Roman" w:eastAsia="Times New Roman" w:cs="Times New Roman"/>
          <w:color w:val="000000"/>
          <w:sz w:val="19"/>
          <w:szCs w:val="19"/>
          <w:vertAlign w:val="superscript"/>
        </w:rPr>
        <w:t>5</w:t>
      </w:r>
      <w:r w:rsidRPr="00CC2F93">
        <w:rPr>
          <w:rFonts w:ascii="Times New Roman" w:hAnsi="Times New Roman" w:eastAsia="Times New Roman" w:cs="Times New Roman"/>
          <w:color w:val="000000"/>
          <w:sz w:val="24"/>
          <w:szCs w:val="24"/>
        </w:rPr>
        <w:t xml:space="preserve"> According to the BIA “[i]n situations involving general civil unrest, the motive for harm should be determined by considering the statements or actions of the perpetrators; abuse or punishment out of proportion to nonpolitical ends; treatment of others similarly situated; conformity to procedures for criminal prosecution or military law;…and the subjection of political opponents to arbitrary arrest, detention, and abuse.” </w:t>
      </w:r>
      <w:r w:rsidRPr="00CC2F93">
        <w:rPr>
          <w:rFonts w:ascii="Times New Roman" w:hAnsi="Times New Roman" w:eastAsia="Times New Roman" w:cs="Times New Roman"/>
          <w:i/>
          <w:iCs/>
          <w:color w:val="000000"/>
          <w:sz w:val="24"/>
          <w:szCs w:val="24"/>
        </w:rPr>
        <w:t xml:space="preserve">Matter of S-P-, </w:t>
      </w:r>
      <w:r w:rsidRPr="00CC2F93">
        <w:rPr>
          <w:rFonts w:ascii="Times New Roman" w:hAnsi="Times New Roman" w:eastAsia="Times New Roman" w:cs="Times New Roman"/>
          <w:color w:val="000000"/>
          <w:sz w:val="24"/>
          <w:szCs w:val="24"/>
        </w:rPr>
        <w:t xml:space="preserve">21 I&amp;N Dec. 486, 494 (BIA 1996). In </w:t>
      </w:r>
      <w:r w:rsidRPr="00CC2F93">
        <w:rPr>
          <w:rFonts w:ascii="Times New Roman" w:hAnsi="Times New Roman" w:eastAsia="Times New Roman" w:cs="Times New Roman"/>
          <w:i/>
          <w:iCs/>
          <w:color w:val="000000"/>
          <w:sz w:val="24"/>
          <w:szCs w:val="24"/>
        </w:rPr>
        <w:t xml:space="preserve">Matter of S-P-, </w:t>
      </w:r>
      <w:r w:rsidRPr="00CC2F93">
        <w:rPr>
          <w:rFonts w:ascii="Times New Roman" w:hAnsi="Times New Roman" w:eastAsia="Times New Roman" w:cs="Times New Roman"/>
          <w:color w:val="000000"/>
          <w:sz w:val="24"/>
          <w:szCs w:val="24"/>
        </w:rPr>
        <w:t xml:space="preserve">the Board found that nexus to the applicant’s imputed political opinion was present where the applicant was interrogated by government officials because of his suspected separatist political opinion, as well as to obtain information. </w:t>
      </w:r>
      <w:r w:rsidRPr="00CC2F93">
        <w:rPr>
          <w:rFonts w:ascii="Times New Roman" w:hAnsi="Times New Roman" w:eastAsia="Times New Roman" w:cs="Times New Roman"/>
          <w:i/>
          <w:iCs/>
          <w:color w:val="000000"/>
          <w:sz w:val="24"/>
          <w:szCs w:val="24"/>
        </w:rPr>
        <w:t xml:space="preserve">Id. </w:t>
      </w:r>
      <w:r w:rsidRPr="00CC2F93">
        <w:rPr>
          <w:rFonts w:ascii="Times New Roman" w:hAnsi="Times New Roman" w:eastAsia="Times New Roman" w:cs="Times New Roman"/>
          <w:color w:val="000000"/>
          <w:sz w:val="24"/>
          <w:szCs w:val="24"/>
        </w:rPr>
        <w:t>at 497.  </w:t>
      </w:r>
    </w:p>
    <w:p w:rsidRPr="00CC2F93" w:rsidR="00CC2F93" w:rsidP="00CC2F93" w:rsidRDefault="00CC2F93" w14:paraId="4E17B15B" w14:textId="77777777">
      <w:pPr>
        <w:spacing w:after="0" w:line="360" w:lineRule="auto"/>
        <w:textAlignment w:val="baseline"/>
        <w:rPr>
          <w:rFonts w:ascii="Segoe UI" w:hAnsi="Segoe UI" w:eastAsia="Times New Roman" w:cs="Segoe UI"/>
          <w:sz w:val="18"/>
          <w:szCs w:val="18"/>
        </w:rPr>
      </w:pPr>
      <w:r w:rsidRPr="00CC2F93">
        <w:rPr>
          <w:rFonts w:ascii="Times New Roman" w:hAnsi="Times New Roman" w:eastAsia="Times New Roman" w:cs="Times New Roman"/>
          <w:color w:val="000000"/>
          <w:sz w:val="24"/>
          <w:szCs w:val="24"/>
        </w:rPr>
        <w:t>In this case, XXX </w:t>
      </w:r>
    </w:p>
    <w:p w:rsidRPr="00CC2F93" w:rsidR="00CC2F93" w:rsidP="00CC2F93" w:rsidRDefault="00CC2F93" w14:paraId="381D41AC" w14:textId="77777777">
      <w:pPr>
        <w:rPr>
          <w:rFonts w:ascii="Times New Roman" w:hAnsi="Times New Roman" w:eastAsia="Times New Roman" w:cs="Times New Roman"/>
          <w:b/>
          <w:bCs/>
          <w:sz w:val="24"/>
          <w:szCs w:val="24"/>
        </w:rPr>
      </w:pPr>
    </w:p>
    <w:p w:rsidR="00072FCE" w:rsidP="00072FCE" w:rsidRDefault="00072FCE" w14:paraId="06397A5F" w14:textId="4FC7678A">
      <w:pPr>
        <w:pStyle w:val="ListParagraph"/>
        <w:numPr>
          <w:ilvl w:val="4"/>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Respondent’s [protected ground] was one central reason for the persecution.</w:t>
      </w:r>
    </w:p>
    <w:p w:rsidR="00072FCE" w:rsidP="00072FCE" w:rsidRDefault="00072FCE" w14:paraId="2FDC0781" w14:textId="4A0797F0">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Respondent is a member of [Particular Social Group A], a cognizable social </w:t>
      </w:r>
      <w:proofErr w:type="gramStart"/>
      <w:r>
        <w:rPr>
          <w:rFonts w:ascii="Times New Roman" w:hAnsi="Times New Roman" w:eastAsia="Times New Roman" w:cs="Times New Roman"/>
          <w:b/>
          <w:bCs/>
          <w:sz w:val="24"/>
          <w:szCs w:val="24"/>
        </w:rPr>
        <w:t>group;</w:t>
      </w:r>
      <w:proofErr w:type="gramEnd"/>
    </w:p>
    <w:p w:rsidR="00CC2F93" w:rsidP="00570F52" w:rsidRDefault="00CC2F93" w14:paraId="77ACA9A2" w14:textId="0872117E">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Respondent’s particular social groups (PSGs) are cognizable because they </w:t>
      </w:r>
      <w:r w:rsidRPr="00CC2F93">
        <w:rPr>
          <w:rFonts w:ascii="Times New Roman" w:hAnsi="Times New Roman" w:eastAsia="Times New Roman" w:cs="Times New Roman"/>
          <w:sz w:val="24"/>
          <w:szCs w:val="24"/>
        </w:rPr>
        <w:t>(1) involve an immutable characteristic, (2) are defined with sufficient particularity, and (3) are socially distinct. </w:t>
      </w:r>
      <w:r>
        <w:rPr>
          <w:rFonts w:ascii="Times New Roman" w:hAnsi="Times New Roman" w:eastAsia="Times New Roman" w:cs="Times New Roman"/>
          <w:sz w:val="24"/>
          <w:szCs w:val="24"/>
        </w:rPr>
        <w:t xml:space="preserve">Respondent is the member of the following PSGs: (1) </w:t>
      </w:r>
      <w:r w:rsidR="00570F52">
        <w:rPr>
          <w:rFonts w:ascii="Times New Roman" w:hAnsi="Times New Roman" w:eastAsia="Times New Roman" w:cs="Times New Roman"/>
          <w:sz w:val="24"/>
          <w:szCs w:val="24"/>
        </w:rPr>
        <w:t>…</w:t>
      </w:r>
    </w:p>
    <w:p w:rsidRPr="00570F52" w:rsidR="00570F52" w:rsidP="00570F52" w:rsidRDefault="00570F52" w14:paraId="68288A99" w14:textId="1B15C686">
      <w:pPr>
        <w:spacing w:line="360" w:lineRule="auto"/>
        <w:rPr>
          <w:rFonts w:ascii="Times New Roman" w:hAnsi="Times New Roman" w:eastAsia="Times New Roman" w:cs="Times New Roman"/>
          <w:sz w:val="24"/>
          <w:szCs w:val="24"/>
        </w:rPr>
      </w:pPr>
      <w:r w:rsidRPr="00570F52">
        <w:rPr>
          <w:rFonts w:ascii="Times New Roman" w:hAnsi="Times New Roman" w:eastAsia="Times New Roman" w:cs="Times New Roman"/>
          <w:sz w:val="24"/>
          <w:szCs w:val="24"/>
        </w:rPr>
        <w:t xml:space="preserve">A particular social group (PSG) must be (1) “composed of members who share a common immutable characteristic;” (2) “defined with particularity;” and (3) “socially distinct within the society in question.” </w:t>
      </w:r>
      <w:r w:rsidRPr="00570F52">
        <w:rPr>
          <w:rFonts w:ascii="Times New Roman" w:hAnsi="Times New Roman" w:eastAsia="Times New Roman" w:cs="Times New Roman"/>
          <w:i/>
          <w:iCs/>
          <w:sz w:val="24"/>
          <w:szCs w:val="24"/>
        </w:rPr>
        <w:t>Matter of A-B-</w:t>
      </w:r>
      <w:r w:rsidRPr="00570F52">
        <w:rPr>
          <w:rFonts w:ascii="Times New Roman" w:hAnsi="Times New Roman" w:eastAsia="Times New Roman" w:cs="Times New Roman"/>
          <w:sz w:val="24"/>
          <w:szCs w:val="24"/>
        </w:rPr>
        <w:t>, 27 I&amp;N Dec. at 320 (BIA 2018).  </w:t>
      </w:r>
    </w:p>
    <w:p w:rsidR="00832710" w:rsidP="00570F52" w:rsidRDefault="00570F52" w14:paraId="3A768B29" w14:textId="77777777">
      <w:pPr>
        <w:spacing w:line="360" w:lineRule="auto"/>
        <w:rPr>
          <w:rFonts w:ascii="Times New Roman" w:hAnsi="Times New Roman" w:eastAsia="Times New Roman" w:cs="Times New Roman"/>
          <w:sz w:val="24"/>
          <w:szCs w:val="24"/>
        </w:rPr>
      </w:pPr>
      <w:r w:rsidRPr="00570F52">
        <w:rPr>
          <w:rFonts w:ascii="Times New Roman" w:hAnsi="Times New Roman" w:eastAsia="Times New Roman" w:cs="Times New Roman"/>
          <w:sz w:val="24"/>
          <w:szCs w:val="24"/>
        </w:rPr>
        <w:t xml:space="preserve">The Eighth Circuit defines immutability as a group characteristic “that the members of the group either cannot </w:t>
      </w:r>
      <w:proofErr w:type="gramStart"/>
      <w:r w:rsidRPr="00570F52">
        <w:rPr>
          <w:rFonts w:ascii="Times New Roman" w:hAnsi="Times New Roman" w:eastAsia="Times New Roman" w:cs="Times New Roman"/>
          <w:sz w:val="24"/>
          <w:szCs w:val="24"/>
        </w:rPr>
        <w:t>change, or</w:t>
      </w:r>
      <w:proofErr w:type="gramEnd"/>
      <w:r w:rsidRPr="00570F52">
        <w:rPr>
          <w:rFonts w:ascii="Times New Roman" w:hAnsi="Times New Roman" w:eastAsia="Times New Roman" w:cs="Times New Roman"/>
          <w:sz w:val="24"/>
          <w:szCs w:val="24"/>
        </w:rPr>
        <w:t xml:space="preserve"> should not be required to change because it is fundamental to their individual identities and consciences.” </w:t>
      </w:r>
      <w:proofErr w:type="spellStart"/>
      <w:r w:rsidRPr="00570F52">
        <w:rPr>
          <w:rFonts w:ascii="Times New Roman" w:hAnsi="Times New Roman" w:eastAsia="Times New Roman" w:cs="Times New Roman"/>
          <w:i/>
          <w:iCs/>
          <w:sz w:val="24"/>
          <w:szCs w:val="24"/>
        </w:rPr>
        <w:t>Ngengwe</w:t>
      </w:r>
      <w:proofErr w:type="spellEnd"/>
      <w:r w:rsidRPr="00570F52">
        <w:rPr>
          <w:rFonts w:ascii="Times New Roman" w:hAnsi="Times New Roman" w:eastAsia="Times New Roman" w:cs="Times New Roman"/>
          <w:i/>
          <w:iCs/>
          <w:sz w:val="24"/>
          <w:szCs w:val="24"/>
        </w:rPr>
        <w:t xml:space="preserve"> v. Mukasey</w:t>
      </w:r>
      <w:r w:rsidRPr="00570F52">
        <w:rPr>
          <w:rFonts w:ascii="Times New Roman" w:hAnsi="Times New Roman" w:eastAsia="Times New Roman" w:cs="Times New Roman"/>
          <w:sz w:val="24"/>
          <w:szCs w:val="24"/>
        </w:rPr>
        <w:t xml:space="preserve">, 543 F.3d 1029, 1033 (8th Cir. 2008). The particularity requirement analyzes whether a proposed PSG “can accurately be described in a manner sufficiently distinct that the group would be recognized, in the society in question, as a discrete class of persons.” </w:t>
      </w:r>
      <w:r w:rsidRPr="00570F52">
        <w:rPr>
          <w:rFonts w:ascii="Times New Roman" w:hAnsi="Times New Roman" w:eastAsia="Times New Roman" w:cs="Times New Roman"/>
          <w:i/>
          <w:iCs/>
          <w:sz w:val="24"/>
          <w:szCs w:val="24"/>
        </w:rPr>
        <w:t>Gaitan v. Holder</w:t>
      </w:r>
      <w:r w:rsidRPr="00570F52">
        <w:rPr>
          <w:rFonts w:ascii="Times New Roman" w:hAnsi="Times New Roman" w:eastAsia="Times New Roman" w:cs="Times New Roman"/>
          <w:sz w:val="24"/>
          <w:szCs w:val="24"/>
        </w:rPr>
        <w:t xml:space="preserve">, 671 F.3d 678, 680 (8th Cir. 2012). A proposed PSG must possess “definable boundaries,” </w:t>
      </w:r>
      <w:r w:rsidRPr="00570F52">
        <w:rPr>
          <w:rFonts w:ascii="Times New Roman" w:hAnsi="Times New Roman" w:eastAsia="Times New Roman" w:cs="Times New Roman"/>
          <w:i/>
          <w:iCs/>
          <w:sz w:val="24"/>
          <w:szCs w:val="24"/>
        </w:rPr>
        <w:t>Matter of M-E-V-G-</w:t>
      </w:r>
      <w:r w:rsidRPr="00570F52">
        <w:rPr>
          <w:rFonts w:ascii="Times New Roman" w:hAnsi="Times New Roman" w:eastAsia="Times New Roman" w:cs="Times New Roman"/>
          <w:sz w:val="24"/>
          <w:szCs w:val="24"/>
        </w:rPr>
        <w:t xml:space="preserve">, 26 I&amp;N Dec. 227, 239 (BIA 2014), and must not be “too vague or amorphous.” </w:t>
      </w:r>
      <w:r w:rsidRPr="00570F52">
        <w:rPr>
          <w:rFonts w:ascii="Times New Roman" w:hAnsi="Times New Roman" w:eastAsia="Times New Roman" w:cs="Times New Roman"/>
          <w:i/>
          <w:iCs/>
          <w:sz w:val="24"/>
          <w:szCs w:val="24"/>
        </w:rPr>
        <w:t>Matter of L-E-A-</w:t>
      </w:r>
      <w:r w:rsidRPr="00570F52">
        <w:rPr>
          <w:rFonts w:ascii="Times New Roman" w:hAnsi="Times New Roman" w:eastAsia="Times New Roman" w:cs="Times New Roman"/>
          <w:sz w:val="24"/>
          <w:szCs w:val="24"/>
        </w:rPr>
        <w:t xml:space="preserve">, 27 I&amp;N Dec. 581, 593 (BIA 2019). The group must be </w:t>
      </w:r>
      <w:proofErr w:type="gramStart"/>
      <w:r w:rsidRPr="00570F52">
        <w:rPr>
          <w:rFonts w:ascii="Times New Roman" w:hAnsi="Times New Roman" w:eastAsia="Times New Roman" w:cs="Times New Roman"/>
          <w:sz w:val="24"/>
          <w:szCs w:val="24"/>
        </w:rPr>
        <w:t>particular enough</w:t>
      </w:r>
      <w:proofErr w:type="gramEnd"/>
      <w:r w:rsidRPr="00570F52">
        <w:rPr>
          <w:rFonts w:ascii="Times New Roman" w:hAnsi="Times New Roman" w:eastAsia="Times New Roman" w:cs="Times New Roman"/>
          <w:sz w:val="24"/>
          <w:szCs w:val="24"/>
        </w:rPr>
        <w:t xml:space="preserve"> to “create a [clear] benchmark for determining group membership.” </w:t>
      </w:r>
      <w:r w:rsidRPr="00570F52">
        <w:rPr>
          <w:rFonts w:ascii="Times New Roman" w:hAnsi="Times New Roman" w:eastAsia="Times New Roman" w:cs="Times New Roman"/>
          <w:i/>
          <w:iCs/>
          <w:sz w:val="24"/>
          <w:szCs w:val="24"/>
        </w:rPr>
        <w:t>Davila-Mejia v. Mukasey</w:t>
      </w:r>
      <w:r w:rsidRPr="00570F52">
        <w:rPr>
          <w:rFonts w:ascii="Times New Roman" w:hAnsi="Times New Roman" w:eastAsia="Times New Roman" w:cs="Times New Roman"/>
          <w:sz w:val="24"/>
          <w:szCs w:val="24"/>
        </w:rPr>
        <w:t xml:space="preserve">, 531 F.3d 624, 628–29 (8th Cir. 2008). The cohesiveness of the group is key; size, alone, is not determinative. </w:t>
      </w:r>
      <w:r w:rsidRPr="00570F52">
        <w:rPr>
          <w:rFonts w:ascii="Times New Roman" w:hAnsi="Times New Roman" w:eastAsia="Times New Roman" w:cs="Times New Roman"/>
          <w:i/>
          <w:iCs/>
          <w:sz w:val="24"/>
          <w:szCs w:val="24"/>
        </w:rPr>
        <w:t xml:space="preserve">See </w:t>
      </w:r>
      <w:proofErr w:type="spellStart"/>
      <w:r w:rsidRPr="00570F52">
        <w:rPr>
          <w:rFonts w:ascii="Times New Roman" w:hAnsi="Times New Roman" w:eastAsia="Times New Roman" w:cs="Times New Roman"/>
          <w:i/>
          <w:iCs/>
          <w:sz w:val="24"/>
          <w:szCs w:val="24"/>
        </w:rPr>
        <w:t>Malonga</w:t>
      </w:r>
      <w:proofErr w:type="spellEnd"/>
      <w:r w:rsidRPr="00570F52">
        <w:rPr>
          <w:rFonts w:ascii="Times New Roman" w:hAnsi="Times New Roman" w:eastAsia="Times New Roman" w:cs="Times New Roman"/>
          <w:i/>
          <w:iCs/>
          <w:sz w:val="24"/>
          <w:szCs w:val="24"/>
        </w:rPr>
        <w:t xml:space="preserve"> v. Mukasey</w:t>
      </w:r>
      <w:r w:rsidRPr="00570F52">
        <w:rPr>
          <w:rFonts w:ascii="Times New Roman" w:hAnsi="Times New Roman" w:eastAsia="Times New Roman" w:cs="Times New Roman"/>
          <w:sz w:val="24"/>
          <w:szCs w:val="24"/>
        </w:rPr>
        <w:t>, 546 F.3d 546, 554 (8th Cir. 2008) (“[F]</w:t>
      </w:r>
      <w:proofErr w:type="spellStart"/>
      <w:r w:rsidRPr="00570F52">
        <w:rPr>
          <w:rFonts w:ascii="Times New Roman" w:hAnsi="Times New Roman" w:eastAsia="Times New Roman" w:cs="Times New Roman"/>
          <w:sz w:val="24"/>
          <w:szCs w:val="24"/>
        </w:rPr>
        <w:t>emales</w:t>
      </w:r>
      <w:proofErr w:type="spellEnd"/>
      <w:r w:rsidRPr="00570F52">
        <w:rPr>
          <w:rFonts w:ascii="Times New Roman" w:hAnsi="Times New Roman" w:eastAsia="Times New Roman" w:cs="Times New Roman"/>
          <w:sz w:val="24"/>
          <w:szCs w:val="24"/>
        </w:rPr>
        <w:t xml:space="preserve"> comprise a large percentage of the Somali population, yet this fact did not foreclose the conclusion that they were a particular social group.”).  </w:t>
      </w:r>
    </w:p>
    <w:p w:rsidRPr="00570F52" w:rsidR="00570F52" w:rsidP="00832710" w:rsidRDefault="00570F52" w14:paraId="73007E88" w14:textId="7DEE4FC1">
      <w:pPr>
        <w:spacing w:line="360" w:lineRule="auto"/>
        <w:ind w:firstLine="720"/>
        <w:rPr>
          <w:rFonts w:ascii="Times New Roman" w:hAnsi="Times New Roman" w:eastAsia="Times New Roman" w:cs="Times New Roman"/>
          <w:sz w:val="24"/>
          <w:szCs w:val="24"/>
        </w:rPr>
      </w:pPr>
      <w:r w:rsidRPr="00570F52">
        <w:rPr>
          <w:rFonts w:ascii="Times New Roman" w:hAnsi="Times New Roman" w:eastAsia="Times New Roman" w:cs="Times New Roman"/>
          <w:sz w:val="24"/>
          <w:szCs w:val="24"/>
        </w:rPr>
        <w:t xml:space="preserve">A particular social group is socially distinct if it is “perceived as a group by society.” </w:t>
      </w:r>
      <w:r w:rsidRPr="00570F52">
        <w:rPr>
          <w:rFonts w:ascii="Times New Roman" w:hAnsi="Times New Roman" w:eastAsia="Times New Roman" w:cs="Times New Roman"/>
          <w:i/>
          <w:iCs/>
          <w:sz w:val="24"/>
          <w:szCs w:val="24"/>
        </w:rPr>
        <w:t>Matter of M-E-V-G-</w:t>
      </w:r>
      <w:r w:rsidRPr="00570F52">
        <w:rPr>
          <w:rFonts w:ascii="Times New Roman" w:hAnsi="Times New Roman" w:eastAsia="Times New Roman" w:cs="Times New Roman"/>
          <w:sz w:val="24"/>
          <w:szCs w:val="24"/>
        </w:rPr>
        <w:t xml:space="preserve">, 26 I&amp;N 227, 240 (2014). Moreover, “a group’s recognition for asylum purposes is determined by the perception of the society in question, rather than by the perception of the persecutor.” </w:t>
      </w:r>
      <w:r w:rsidRPr="00570F52">
        <w:rPr>
          <w:rFonts w:ascii="Times New Roman" w:hAnsi="Times New Roman" w:eastAsia="Times New Roman" w:cs="Times New Roman"/>
          <w:i/>
          <w:iCs/>
          <w:sz w:val="24"/>
          <w:szCs w:val="24"/>
        </w:rPr>
        <w:t xml:space="preserve">Id. </w:t>
      </w:r>
      <w:r w:rsidRPr="00570F52">
        <w:rPr>
          <w:rFonts w:ascii="Times New Roman" w:hAnsi="Times New Roman" w:eastAsia="Times New Roman" w:cs="Times New Roman"/>
          <w:sz w:val="24"/>
          <w:szCs w:val="24"/>
        </w:rPr>
        <w:t xml:space="preserve">at 242. The social distinction inquiry requires a “fact-based inquiry made on a case-by-case basis.” </w:t>
      </w:r>
      <w:r w:rsidRPr="00570F52">
        <w:rPr>
          <w:rFonts w:ascii="Times New Roman" w:hAnsi="Times New Roman" w:eastAsia="Times New Roman" w:cs="Times New Roman"/>
          <w:i/>
          <w:iCs/>
          <w:sz w:val="24"/>
          <w:szCs w:val="24"/>
        </w:rPr>
        <w:t>Miranda v. Sessions</w:t>
      </w:r>
      <w:r w:rsidRPr="00570F52">
        <w:rPr>
          <w:rFonts w:ascii="Times New Roman" w:hAnsi="Times New Roman" w:eastAsia="Times New Roman" w:cs="Times New Roman"/>
          <w:sz w:val="24"/>
          <w:szCs w:val="24"/>
        </w:rPr>
        <w:t xml:space="preserve">, 892 F.3d 940, 943 (quoting </w:t>
      </w:r>
      <w:r w:rsidRPr="00570F52">
        <w:rPr>
          <w:rFonts w:ascii="Times New Roman" w:hAnsi="Times New Roman" w:eastAsia="Times New Roman" w:cs="Times New Roman"/>
          <w:i/>
          <w:iCs/>
          <w:sz w:val="24"/>
          <w:szCs w:val="24"/>
        </w:rPr>
        <w:t>Matter of L-E-A</w:t>
      </w:r>
      <w:r w:rsidRPr="00570F52">
        <w:rPr>
          <w:rFonts w:ascii="Times New Roman" w:hAnsi="Times New Roman" w:eastAsia="Times New Roman" w:cs="Times New Roman"/>
          <w:sz w:val="24"/>
          <w:szCs w:val="24"/>
        </w:rPr>
        <w:t xml:space="preserve">, 27 I&amp;N 40, 42 (BIA 2017)). A court can infer that society views a group as socially distinct if that </w:t>
      </w:r>
      <w:proofErr w:type="gramStart"/>
      <w:r w:rsidRPr="00570F52">
        <w:rPr>
          <w:rFonts w:ascii="Times New Roman" w:hAnsi="Times New Roman" w:eastAsia="Times New Roman" w:cs="Times New Roman"/>
          <w:sz w:val="24"/>
          <w:szCs w:val="24"/>
        </w:rPr>
        <w:lastRenderedPageBreak/>
        <w:t>particular group</w:t>
      </w:r>
      <w:proofErr w:type="gramEnd"/>
      <w:r w:rsidRPr="00570F52">
        <w:rPr>
          <w:rFonts w:ascii="Times New Roman" w:hAnsi="Times New Roman" w:eastAsia="Times New Roman" w:cs="Times New Roman"/>
          <w:sz w:val="24"/>
          <w:szCs w:val="24"/>
        </w:rPr>
        <w:t xml:space="preserve"> faces “a higher incidence of crime” than the general population. </w:t>
      </w:r>
      <w:proofErr w:type="spellStart"/>
      <w:r w:rsidRPr="00570F52">
        <w:rPr>
          <w:rFonts w:ascii="Times New Roman" w:hAnsi="Times New Roman" w:eastAsia="Times New Roman" w:cs="Times New Roman"/>
          <w:i/>
          <w:iCs/>
          <w:sz w:val="24"/>
          <w:szCs w:val="24"/>
        </w:rPr>
        <w:t>Gathungu</w:t>
      </w:r>
      <w:proofErr w:type="spellEnd"/>
      <w:r w:rsidRPr="00570F52">
        <w:rPr>
          <w:rFonts w:ascii="Times New Roman" w:hAnsi="Times New Roman" w:eastAsia="Times New Roman" w:cs="Times New Roman"/>
          <w:i/>
          <w:iCs/>
          <w:sz w:val="24"/>
          <w:szCs w:val="24"/>
        </w:rPr>
        <w:t xml:space="preserve"> v. Holder</w:t>
      </w:r>
      <w:r w:rsidRPr="00570F52">
        <w:rPr>
          <w:rFonts w:ascii="Times New Roman" w:hAnsi="Times New Roman" w:eastAsia="Times New Roman" w:cs="Times New Roman"/>
          <w:sz w:val="24"/>
          <w:szCs w:val="24"/>
        </w:rPr>
        <w:t xml:space="preserve">, 725 F.3d 900, 908 (8th Cir. 2013). Evidence that society “recognizes the need to offer protection” to the group or documentation that the group commonly suffers persecution with relative impunity can also support a finding of social distinction. </w:t>
      </w:r>
      <w:r w:rsidRPr="00570F52">
        <w:rPr>
          <w:rFonts w:ascii="Times New Roman" w:hAnsi="Times New Roman" w:eastAsia="Times New Roman" w:cs="Times New Roman"/>
          <w:i/>
          <w:iCs/>
          <w:sz w:val="24"/>
          <w:szCs w:val="24"/>
        </w:rPr>
        <w:t>Gonzalez Cano v. Lynch</w:t>
      </w:r>
      <w:r w:rsidRPr="00570F52">
        <w:rPr>
          <w:rFonts w:ascii="Times New Roman" w:hAnsi="Times New Roman" w:eastAsia="Times New Roman" w:cs="Times New Roman"/>
          <w:sz w:val="24"/>
          <w:szCs w:val="24"/>
        </w:rPr>
        <w:t xml:space="preserve">, 809 F.3d 1056, 1059 (8th Cir. 2016). The social and cultural norms in the relevant country must be assessed to determine if the group is perceived as distinct by that society. </w:t>
      </w:r>
      <w:r w:rsidRPr="00570F52">
        <w:rPr>
          <w:rFonts w:ascii="Times New Roman" w:hAnsi="Times New Roman" w:eastAsia="Times New Roman" w:cs="Times New Roman"/>
          <w:i/>
          <w:iCs/>
          <w:sz w:val="24"/>
          <w:szCs w:val="24"/>
        </w:rPr>
        <w:t>See Matter of S-E-G-</w:t>
      </w:r>
      <w:r w:rsidRPr="00570F52">
        <w:rPr>
          <w:rFonts w:ascii="Times New Roman" w:hAnsi="Times New Roman" w:eastAsia="Times New Roman" w:cs="Times New Roman"/>
          <w:sz w:val="24"/>
          <w:szCs w:val="24"/>
        </w:rPr>
        <w:t>, 24 I&amp;N Dec. 579, 584.  </w:t>
      </w:r>
    </w:p>
    <w:p w:rsidRPr="00CC2F93" w:rsidR="00570F52" w:rsidP="00570F52" w:rsidRDefault="00570F52" w14:paraId="0EF6307A" w14:textId="77777777">
      <w:pPr>
        <w:spacing w:line="360" w:lineRule="auto"/>
        <w:rPr>
          <w:rFonts w:ascii="Times New Roman" w:hAnsi="Times New Roman" w:eastAsia="Times New Roman" w:cs="Times New Roman"/>
          <w:sz w:val="24"/>
          <w:szCs w:val="24"/>
        </w:rPr>
      </w:pPr>
    </w:p>
    <w:p w:rsidR="00072FCE" w:rsidP="00072FCE" w:rsidRDefault="00072FCE" w14:paraId="2720DC21" w14:textId="6276AA99">
      <w:pPr>
        <w:pStyle w:val="ListParagraph"/>
        <w:numPr>
          <w:ilvl w:val="4"/>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Respondent’s PSG was one central reason for the persecution.</w:t>
      </w:r>
    </w:p>
    <w:p w:rsidR="00072FCE" w:rsidP="00072FCE" w:rsidRDefault="00072FCE" w14:paraId="31F9988C" w14:textId="0BE2D167">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Respondent is a member of [Particular Social Group </w:t>
      </w:r>
      <w:r>
        <w:rPr>
          <w:rFonts w:ascii="Times New Roman" w:hAnsi="Times New Roman" w:eastAsia="Times New Roman" w:cs="Times New Roman"/>
          <w:b/>
          <w:bCs/>
          <w:sz w:val="24"/>
          <w:szCs w:val="24"/>
        </w:rPr>
        <w:t>B</w:t>
      </w:r>
      <w:r>
        <w:rPr>
          <w:rFonts w:ascii="Times New Roman" w:hAnsi="Times New Roman" w:eastAsia="Times New Roman" w:cs="Times New Roman"/>
          <w:b/>
          <w:bCs/>
          <w:sz w:val="24"/>
          <w:szCs w:val="24"/>
        </w:rPr>
        <w:t xml:space="preserve">], a cognizable social </w:t>
      </w:r>
      <w:proofErr w:type="gramStart"/>
      <w:r>
        <w:rPr>
          <w:rFonts w:ascii="Times New Roman" w:hAnsi="Times New Roman" w:eastAsia="Times New Roman" w:cs="Times New Roman"/>
          <w:b/>
          <w:bCs/>
          <w:sz w:val="24"/>
          <w:szCs w:val="24"/>
        </w:rPr>
        <w:t>group;</w:t>
      </w:r>
      <w:proofErr w:type="gramEnd"/>
    </w:p>
    <w:p w:rsidRPr="00B968D1" w:rsidR="00072FCE" w:rsidP="00072FCE" w:rsidRDefault="00072FCE" w14:paraId="4F5DF46C" w14:textId="77777777">
      <w:pPr>
        <w:pStyle w:val="ListParagraph"/>
        <w:numPr>
          <w:ilvl w:val="4"/>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Respondent’s PSG was one central reason for the </w:t>
      </w:r>
      <w:proofErr w:type="spellStart"/>
      <w:r>
        <w:rPr>
          <w:rFonts w:ascii="Times New Roman" w:hAnsi="Times New Roman" w:eastAsia="Times New Roman" w:cs="Times New Roman"/>
          <w:b/>
          <w:bCs/>
          <w:sz w:val="24"/>
          <w:szCs w:val="24"/>
        </w:rPr>
        <w:t>persection</w:t>
      </w:r>
      <w:proofErr w:type="spellEnd"/>
      <w:r>
        <w:rPr>
          <w:rFonts w:ascii="Times New Roman" w:hAnsi="Times New Roman" w:eastAsia="Times New Roman" w:cs="Times New Roman"/>
          <w:b/>
          <w:bCs/>
          <w:sz w:val="24"/>
          <w:szCs w:val="24"/>
        </w:rPr>
        <w:t>.</w:t>
      </w:r>
    </w:p>
    <w:p w:rsidR="00072FCE" w:rsidP="00072FCE" w:rsidRDefault="00072FCE" w14:paraId="71E67A95" w14:textId="06D95B8E">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There is a pattern and practice of persecution of [PSG] in [Country]</w:t>
      </w:r>
    </w:p>
    <w:p w:rsidRPr="00B968D1" w:rsidR="008E5C05" w:rsidP="008E5C05" w:rsidRDefault="008E5C05" w14:paraId="5B9A00B2" w14:textId="77777777">
      <w:pPr>
        <w:pStyle w:val="ListParagraph"/>
        <w:ind w:left="2880"/>
        <w:rPr>
          <w:rFonts w:ascii="Times New Roman" w:hAnsi="Times New Roman" w:eastAsia="Times New Roman" w:cs="Times New Roman"/>
          <w:b/>
          <w:bCs/>
          <w:sz w:val="24"/>
          <w:szCs w:val="24"/>
        </w:rPr>
      </w:pPr>
    </w:p>
    <w:p w:rsidR="00832710" w:rsidP="00B968D1" w:rsidRDefault="00832710" w14:paraId="630DEB9F" w14:textId="16A7E96F">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 GOVERNMENT OF [COUNTRY] IS UNABLE OR UNWILLING TO PROTECT RESPONDENT FROM THE PERSECUTORS</w:t>
      </w:r>
    </w:p>
    <w:p w:rsidRPr="00832710" w:rsidR="00832710" w:rsidP="00832710" w:rsidRDefault="00832710" w14:paraId="42B303DE" w14:textId="161C9E96">
      <w:pPr>
        <w:spacing w:line="360" w:lineRule="auto"/>
        <w:ind w:firstLine="720"/>
        <w:rPr>
          <w:rFonts w:ascii="Times New Roman" w:hAnsi="Times New Roman" w:eastAsia="Times New Roman" w:cs="Times New Roman"/>
          <w:sz w:val="24"/>
          <w:szCs w:val="24"/>
        </w:rPr>
      </w:pPr>
      <w:r w:rsidRPr="00832710">
        <w:rPr>
          <w:rFonts w:ascii="Times New Roman" w:hAnsi="Times New Roman" w:eastAsia="Times New Roman" w:cs="Times New Roman"/>
          <w:sz w:val="24"/>
          <w:szCs w:val="24"/>
        </w:rPr>
        <w:t xml:space="preserve">An asylum applicant who was persecuted by private actors must show “the assaults were either condoned by the government or were committed by private actors that the government was unwilling or unable to control.” </w:t>
      </w:r>
      <w:r w:rsidRPr="00832710">
        <w:rPr>
          <w:rFonts w:ascii="Times New Roman" w:hAnsi="Times New Roman" w:eastAsia="Times New Roman" w:cs="Times New Roman"/>
          <w:i/>
          <w:iCs/>
          <w:sz w:val="24"/>
          <w:szCs w:val="24"/>
        </w:rPr>
        <w:t>Mejia-Ramos v. Barr</w:t>
      </w:r>
      <w:r w:rsidRPr="00832710">
        <w:rPr>
          <w:rFonts w:ascii="Times New Roman" w:hAnsi="Times New Roman" w:eastAsia="Times New Roman" w:cs="Times New Roman"/>
          <w:sz w:val="24"/>
          <w:szCs w:val="24"/>
        </w:rPr>
        <w:t xml:space="preserve">, 934 F.3d 789, 793 (8th Cir. 2019) (quoting </w:t>
      </w:r>
      <w:r w:rsidRPr="00832710">
        <w:rPr>
          <w:rFonts w:ascii="Times New Roman" w:hAnsi="Times New Roman" w:eastAsia="Times New Roman" w:cs="Times New Roman"/>
          <w:i/>
          <w:iCs/>
          <w:sz w:val="24"/>
          <w:szCs w:val="24"/>
        </w:rPr>
        <w:t>Beck v. Mukasey</w:t>
      </w:r>
      <w:r w:rsidRPr="00832710">
        <w:rPr>
          <w:rFonts w:ascii="Times New Roman" w:hAnsi="Times New Roman" w:eastAsia="Times New Roman" w:cs="Times New Roman"/>
          <w:sz w:val="24"/>
          <w:szCs w:val="24"/>
        </w:rPr>
        <w:t xml:space="preserve">, 527 F.3d 737, 740 (8th Cir. 2008)). The court may rely on evidence showing that the government does not protect people similarly situated as the petitioner to demonstrate the government’s “complete helplessness to protect the victims.” </w:t>
      </w:r>
      <w:proofErr w:type="spellStart"/>
      <w:r w:rsidRPr="00832710">
        <w:rPr>
          <w:rFonts w:ascii="Times New Roman" w:hAnsi="Times New Roman" w:eastAsia="Times New Roman" w:cs="Times New Roman"/>
          <w:i/>
          <w:iCs/>
          <w:sz w:val="24"/>
          <w:szCs w:val="24"/>
        </w:rPr>
        <w:t>Ngengwe</w:t>
      </w:r>
      <w:proofErr w:type="spellEnd"/>
      <w:r w:rsidRPr="00832710">
        <w:rPr>
          <w:rFonts w:ascii="Times New Roman" w:hAnsi="Times New Roman" w:eastAsia="Times New Roman" w:cs="Times New Roman"/>
          <w:i/>
          <w:iCs/>
          <w:sz w:val="24"/>
          <w:szCs w:val="24"/>
        </w:rPr>
        <w:t xml:space="preserve"> v. Mukasey</w:t>
      </w:r>
      <w:r w:rsidRPr="00832710">
        <w:rPr>
          <w:rFonts w:ascii="Times New Roman" w:hAnsi="Times New Roman" w:eastAsia="Times New Roman" w:cs="Times New Roman"/>
          <w:sz w:val="24"/>
          <w:szCs w:val="24"/>
        </w:rPr>
        <w:t>, 543 F.3d 1029, 1035 (8th Cir. 2008).</w:t>
      </w:r>
      <w:r w:rsidRPr="00832710">
        <w:rPr>
          <w:rFonts w:ascii="Times New Roman" w:hAnsi="Times New Roman" w:eastAsia="Times New Roman" w:cs="Times New Roman"/>
          <w:sz w:val="24"/>
          <w:szCs w:val="24"/>
          <w:vertAlign w:val="superscript"/>
        </w:rPr>
        <w:t>2</w:t>
      </w:r>
      <w:r w:rsidRPr="00832710">
        <w:rPr>
          <w:rFonts w:ascii="Times New Roman" w:hAnsi="Times New Roman" w:eastAsia="Times New Roman" w:cs="Times New Roman"/>
          <w:sz w:val="24"/>
          <w:szCs w:val="24"/>
        </w:rPr>
        <w:t xml:space="preserve"> Finally, the BIA has deemed evidence demonstrating the futility of reporting persecution to the government as “significant” to their analysis. </w:t>
      </w:r>
      <w:r w:rsidRPr="00832710">
        <w:rPr>
          <w:rFonts w:ascii="Times New Roman" w:hAnsi="Times New Roman" w:eastAsia="Times New Roman" w:cs="Times New Roman"/>
          <w:i/>
          <w:iCs/>
          <w:sz w:val="24"/>
          <w:szCs w:val="24"/>
        </w:rPr>
        <w:t>In re S-A-</w:t>
      </w:r>
      <w:r w:rsidRPr="00832710">
        <w:rPr>
          <w:rFonts w:ascii="Times New Roman" w:hAnsi="Times New Roman" w:eastAsia="Times New Roman" w:cs="Times New Roman"/>
          <w:sz w:val="24"/>
          <w:szCs w:val="24"/>
        </w:rPr>
        <w:t>, 22 I&amp;N 1328, 1332-33 (BIA 2000).  </w:t>
      </w:r>
    </w:p>
    <w:p w:rsidR="008E5C05" w:rsidP="00B968D1" w:rsidRDefault="00BB0F99" w14:paraId="221061AF" w14:textId="77777777">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w:t>
      </w:r>
      <w:r w:rsidR="008E5C05">
        <w:rPr>
          <w:rFonts w:ascii="Times New Roman" w:hAnsi="Times New Roman" w:eastAsia="Times New Roman" w:cs="Times New Roman"/>
          <w:b/>
          <w:bCs/>
          <w:sz w:val="24"/>
          <w:szCs w:val="24"/>
        </w:rPr>
        <w:t xml:space="preserve">’S </w:t>
      </w:r>
      <w:proofErr w:type="gramStart"/>
      <w:r w:rsidR="008E5C05">
        <w:rPr>
          <w:rFonts w:ascii="Times New Roman" w:hAnsi="Times New Roman" w:eastAsia="Times New Roman" w:cs="Times New Roman"/>
          <w:b/>
          <w:bCs/>
          <w:sz w:val="24"/>
          <w:szCs w:val="24"/>
        </w:rPr>
        <w:t>WELL FOUNDED</w:t>
      </w:r>
      <w:proofErr w:type="gramEnd"/>
      <w:r w:rsidR="008E5C05">
        <w:rPr>
          <w:rFonts w:ascii="Times New Roman" w:hAnsi="Times New Roman" w:eastAsia="Times New Roman" w:cs="Times New Roman"/>
          <w:b/>
          <w:bCs/>
          <w:sz w:val="24"/>
          <w:szCs w:val="24"/>
        </w:rPr>
        <w:t xml:space="preserve"> FEAR CANNOT BE REBUTTED BY CHANGED CIRCUMSTANCES OR INTERNAL RELOCATION</w:t>
      </w:r>
    </w:p>
    <w:p w:rsidR="008E5C05" w:rsidP="008E5C05" w:rsidRDefault="008E5C05" w14:paraId="1076325D" w14:textId="34779A3B">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Circumstances in [Country] have not changed to make it safe for Respondent to safely return</w:t>
      </w:r>
    </w:p>
    <w:p w:rsidRPr="008E5C05" w:rsidR="00B968D1" w:rsidP="008E5C05" w:rsidRDefault="008E5C05" w14:paraId="7960FA8C" w14:textId="2CC158BE">
      <w:pPr>
        <w:pStyle w:val="ListParagraph"/>
        <w:numPr>
          <w:ilvl w:val="2"/>
          <w:numId w:val="4"/>
        </w:numPr>
        <w:rPr>
          <w:rFonts w:ascii="Times New Roman" w:hAnsi="Times New Roman" w:eastAsia="Times New Roman" w:cs="Times New Roman"/>
          <w:b/>
          <w:bCs/>
          <w:sz w:val="24"/>
          <w:szCs w:val="24"/>
        </w:rPr>
      </w:pPr>
      <w:r w:rsidRPr="008E5C05">
        <w:rPr>
          <w:rFonts w:ascii="Times New Roman" w:hAnsi="Times New Roman" w:eastAsia="Times New Roman" w:cs="Times New Roman"/>
          <w:b/>
          <w:bCs/>
          <w:sz w:val="24"/>
          <w:szCs w:val="24"/>
        </w:rPr>
        <w:t>Respondent Cannot Safely Relocate Elsewhere In [The Country]</w:t>
      </w:r>
    </w:p>
    <w:p w:rsidR="00BB0F99" w:rsidP="008E5C05" w:rsidRDefault="00BB0F99" w14:paraId="7D009AF8" w14:textId="317FFC00">
      <w:pPr>
        <w:pStyle w:val="ListParagraph"/>
        <w:numPr>
          <w:ilvl w:val="3"/>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Internal relocation is unreasonable given X, Y, Z</w:t>
      </w:r>
    </w:p>
    <w:p w:rsidR="00B968D1" w:rsidP="00B968D1" w:rsidRDefault="00BB0F99" w14:paraId="535E844E" w14:textId="7865A697">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lastRenderedPageBreak/>
        <w:t>RESPONDENT IS ELIGIBLE FOR HUMANITARIAN ASYLUM</w:t>
      </w:r>
    </w:p>
    <w:p w:rsidR="00B968D1" w:rsidP="00B968D1" w:rsidRDefault="00BB0F99" w14:paraId="2E337461" w14:textId="15F35595">
      <w:pPr>
        <w:pStyle w:val="ListParagraph"/>
        <w:numPr>
          <w:ilvl w:val="1"/>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RESPONDENT IS NOT BARRED FROM RECEIVING ASYLUM</w:t>
      </w:r>
    </w:p>
    <w:p w:rsidR="00BB0F99" w:rsidP="00BB0F99" w:rsidRDefault="00BB0F99" w14:paraId="3326F6D8" w14:textId="189C66AA">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Respondent filed the asylum application within the one-year filing </w:t>
      </w:r>
      <w:proofErr w:type="gramStart"/>
      <w:r>
        <w:rPr>
          <w:rFonts w:ascii="Times New Roman" w:hAnsi="Times New Roman" w:eastAsia="Times New Roman" w:cs="Times New Roman"/>
          <w:b/>
          <w:bCs/>
          <w:sz w:val="24"/>
          <w:szCs w:val="24"/>
        </w:rPr>
        <w:t>deadline;</w:t>
      </w:r>
      <w:proofErr w:type="gramEnd"/>
    </w:p>
    <w:p w:rsidR="00BB0F99" w:rsidP="00BB0F99" w:rsidRDefault="00BB0F99" w14:paraId="431B4340" w14:textId="14E61461">
      <w:pPr>
        <w:pStyle w:val="ListParagraph"/>
        <w:numPr>
          <w:ilvl w:val="2"/>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[other relevant grounds]</w:t>
      </w:r>
    </w:p>
    <w:p w:rsidR="00BB0F99" w:rsidP="00BB0F99" w:rsidRDefault="00BB0F99" w14:paraId="59A897B7" w14:textId="77777777">
      <w:pPr>
        <w:pStyle w:val="ListParagraph"/>
        <w:ind w:left="1440"/>
        <w:rPr>
          <w:rFonts w:ascii="Times New Roman" w:hAnsi="Times New Roman" w:eastAsia="Times New Roman" w:cs="Times New Roman"/>
          <w:b/>
          <w:bCs/>
          <w:sz w:val="24"/>
          <w:szCs w:val="24"/>
        </w:rPr>
      </w:pPr>
    </w:p>
    <w:p w:rsidR="002E032B" w:rsidP="002E032B" w:rsidRDefault="002E032B" w14:paraId="50163319" w14:textId="6B649C87">
      <w:pPr>
        <w:pStyle w:val="ListParagraph"/>
        <w:numPr>
          <w:ilvl w:val="0"/>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WITHHOLDING ELIGIBLITY</w:t>
      </w:r>
    </w:p>
    <w:p w:rsidRPr="008E5C05" w:rsidR="008E5C05" w:rsidP="008E5C05" w:rsidRDefault="008E5C05" w14:paraId="0DD5D1BF" w14:textId="627A7DC1">
      <w:pPr>
        <w:spacing w:line="360" w:lineRule="auto"/>
        <w:ind w:firstLine="360"/>
        <w:rPr>
          <w:rFonts w:ascii="Times New Roman" w:hAnsi="Times New Roman" w:eastAsia="Times New Roman" w:cs="Times New Roman"/>
          <w:b/>
          <w:bCs/>
          <w:sz w:val="24"/>
          <w:szCs w:val="24"/>
        </w:rPr>
      </w:pPr>
      <w:r w:rsidRPr="008E5C05">
        <w:rPr>
          <w:rStyle w:val="normaltextrun"/>
          <w:rFonts w:ascii="Times New Roman" w:hAnsi="Times New Roman" w:cs="Times New Roman"/>
          <w:color w:val="000000"/>
          <w:sz w:val="24"/>
          <w:szCs w:val="24"/>
          <w:shd w:val="clear" w:color="auto" w:fill="FFFFFF"/>
        </w:rPr>
        <w:t xml:space="preserve">Under 8 U.S.C. § 1231(b)(3)(A), “the Attorney General may not remove an alien to a country if the Attorney General decides that the alien’s life or freedom would be threatened in that country because of the alien’s race, religion, nationality, membership in a particular social group, or political opinion.” This standard requires the applicant to show a “clear probability” that they will face persecution in their home country. </w:t>
      </w:r>
      <w:proofErr w:type="spellStart"/>
      <w:r w:rsidRPr="008E5C05">
        <w:rPr>
          <w:rStyle w:val="normaltextrun"/>
          <w:rFonts w:ascii="Times New Roman" w:hAnsi="Times New Roman" w:cs="Times New Roman"/>
          <w:i/>
          <w:iCs/>
          <w:color w:val="000000"/>
          <w:sz w:val="24"/>
          <w:szCs w:val="24"/>
          <w:shd w:val="clear" w:color="auto" w:fill="FFFFFF"/>
        </w:rPr>
        <w:t>Valioukevitch</w:t>
      </w:r>
      <w:proofErr w:type="spellEnd"/>
      <w:r w:rsidRPr="008E5C05">
        <w:rPr>
          <w:rStyle w:val="normaltextrun"/>
          <w:rFonts w:ascii="Times New Roman" w:hAnsi="Times New Roman" w:cs="Times New Roman"/>
          <w:i/>
          <w:iCs/>
          <w:color w:val="000000"/>
          <w:sz w:val="24"/>
          <w:szCs w:val="24"/>
          <w:shd w:val="clear" w:color="auto" w:fill="FFFFFF"/>
        </w:rPr>
        <w:t xml:space="preserve"> v. INS</w:t>
      </w:r>
      <w:r w:rsidRPr="008E5C05">
        <w:rPr>
          <w:rStyle w:val="normaltextrun"/>
          <w:rFonts w:ascii="Times New Roman" w:hAnsi="Times New Roman" w:cs="Times New Roman"/>
          <w:color w:val="000000"/>
          <w:sz w:val="24"/>
          <w:szCs w:val="24"/>
          <w:shd w:val="clear" w:color="auto" w:fill="FFFFFF"/>
        </w:rPr>
        <w:t>, 251 F.3d 747, 749 (8th Cir. 2001).</w:t>
      </w:r>
      <w:r w:rsidRPr="008E5C05">
        <w:rPr>
          <w:rStyle w:val="eop"/>
          <w:rFonts w:ascii="Times New Roman" w:hAnsi="Times New Roman" w:cs="Times New Roman"/>
          <w:color w:val="000000"/>
          <w:sz w:val="24"/>
          <w:szCs w:val="24"/>
          <w:shd w:val="clear" w:color="auto" w:fill="FFFFFF"/>
        </w:rPr>
        <w:t> </w:t>
      </w:r>
    </w:p>
    <w:p w:rsidR="00BB0F99" w:rsidP="00BB0F99" w:rsidRDefault="00BB0F99" w14:paraId="7C22B3FD" w14:textId="77777777">
      <w:pPr>
        <w:pStyle w:val="ListParagraph"/>
        <w:ind w:left="1080"/>
        <w:rPr>
          <w:rFonts w:ascii="Times New Roman" w:hAnsi="Times New Roman" w:eastAsia="Times New Roman" w:cs="Times New Roman"/>
          <w:b/>
          <w:bCs/>
          <w:sz w:val="24"/>
          <w:szCs w:val="24"/>
        </w:rPr>
      </w:pPr>
    </w:p>
    <w:p w:rsidR="002E032B" w:rsidP="002E032B" w:rsidRDefault="002E032B" w14:paraId="58BB70A6" w14:textId="5A5FE56C">
      <w:pPr>
        <w:pStyle w:val="ListParagraph"/>
        <w:numPr>
          <w:ilvl w:val="0"/>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CAT ELIGIBILITY</w:t>
      </w:r>
    </w:p>
    <w:p w:rsidRPr="008E5C05" w:rsidR="008E5C05" w:rsidP="008E5C05" w:rsidRDefault="008E5C05" w14:paraId="203C6007" w14:textId="77777777">
      <w:pPr>
        <w:spacing w:after="0" w:line="360" w:lineRule="auto"/>
        <w:ind w:firstLine="720"/>
        <w:jc w:val="both"/>
        <w:textAlignment w:val="baseline"/>
        <w:rPr>
          <w:rFonts w:ascii="Segoe UI" w:hAnsi="Segoe UI" w:eastAsia="Times New Roman" w:cs="Segoe UI"/>
          <w:sz w:val="18"/>
          <w:szCs w:val="18"/>
        </w:rPr>
      </w:pPr>
      <w:r w:rsidRPr="008E5C05">
        <w:rPr>
          <w:rFonts w:ascii="Times New Roman" w:hAnsi="Times New Roman" w:eastAsia="Times New Roman" w:cs="Times New Roman"/>
          <w:sz w:val="24"/>
          <w:szCs w:val="24"/>
        </w:rPr>
        <w:t>To establish eligibility for relief under the Convention Against Torture (“CAT”), Ms. Salazar must demonstrate that it is more likely than not she will be tortured with the Salvadoran government’s consent or acquiescence. 8 C.F.R. §§ 208.16(c)(2); 208.17(a). </w:t>
      </w:r>
    </w:p>
    <w:p w:rsidRPr="008E5C05" w:rsidR="008E5C05" w:rsidP="008E5C05" w:rsidRDefault="008E5C05" w14:paraId="473CA9FC" w14:textId="77777777">
      <w:pPr>
        <w:spacing w:after="0" w:line="360" w:lineRule="auto"/>
        <w:ind w:firstLine="720"/>
        <w:jc w:val="both"/>
        <w:textAlignment w:val="baseline"/>
        <w:rPr>
          <w:rFonts w:ascii="Segoe UI" w:hAnsi="Segoe UI" w:eastAsia="Times New Roman" w:cs="Segoe UI"/>
          <w:sz w:val="18"/>
          <w:szCs w:val="18"/>
        </w:rPr>
      </w:pPr>
      <w:r w:rsidRPr="008E5C05">
        <w:rPr>
          <w:rFonts w:ascii="Times New Roman" w:hAnsi="Times New Roman" w:eastAsia="Times New Roman" w:cs="Times New Roman"/>
          <w:sz w:val="24"/>
          <w:szCs w:val="24"/>
        </w:rPr>
        <w:t xml:space="preserve">CAT prohibits returning an individual to a country “where there are substantial grounds for believing that she would be in danger of being subjected to torture” or where it “is more likely than not to be tortured in the country of removal.” 8 C.F.R. § 1208.16(c). Circuit courts have determined that the phrase “more likely than not” does not require an applicant to demonstrate an exact 51% likelihood of torture. </w:t>
      </w:r>
      <w:r w:rsidRPr="008E5C05">
        <w:rPr>
          <w:rFonts w:ascii="Times New Roman" w:hAnsi="Times New Roman" w:eastAsia="Times New Roman" w:cs="Times New Roman"/>
          <w:i/>
          <w:iCs/>
          <w:sz w:val="24"/>
          <w:szCs w:val="24"/>
        </w:rPr>
        <w:t xml:space="preserve">See </w:t>
      </w:r>
      <w:proofErr w:type="spellStart"/>
      <w:r w:rsidRPr="008E5C05">
        <w:rPr>
          <w:rFonts w:ascii="Times New Roman" w:hAnsi="Times New Roman" w:eastAsia="Times New Roman" w:cs="Times New Roman"/>
          <w:i/>
          <w:iCs/>
          <w:sz w:val="24"/>
          <w:szCs w:val="24"/>
        </w:rPr>
        <w:t>Arrazabal</w:t>
      </w:r>
      <w:proofErr w:type="spellEnd"/>
      <w:r w:rsidRPr="008E5C05">
        <w:rPr>
          <w:rFonts w:ascii="Times New Roman" w:hAnsi="Times New Roman" w:eastAsia="Times New Roman" w:cs="Times New Roman"/>
          <w:i/>
          <w:iCs/>
          <w:sz w:val="24"/>
          <w:szCs w:val="24"/>
        </w:rPr>
        <w:t xml:space="preserve"> v. Lynch</w:t>
      </w:r>
      <w:r w:rsidRPr="008E5C05">
        <w:rPr>
          <w:rFonts w:ascii="Times New Roman" w:hAnsi="Times New Roman" w:eastAsia="Times New Roman" w:cs="Times New Roman"/>
          <w:sz w:val="24"/>
          <w:szCs w:val="24"/>
        </w:rPr>
        <w:t xml:space="preserve">, 822 F.3d 961, 966 (7th Cir. 2016) (noting that the standard “must be understood pragmatically in the immigration context, because there is no reliable data to show just how great an applicant’s risk of torture is.”). Furthermore, the risk is heightened and must be aggregated where there are multiple persecutors. </w:t>
      </w:r>
      <w:r w:rsidRPr="008E5C05">
        <w:rPr>
          <w:rFonts w:ascii="Times New Roman" w:hAnsi="Times New Roman" w:eastAsia="Times New Roman" w:cs="Times New Roman"/>
          <w:i/>
          <w:iCs/>
          <w:sz w:val="24"/>
          <w:szCs w:val="24"/>
        </w:rPr>
        <w:t xml:space="preserve">See </w:t>
      </w:r>
      <w:proofErr w:type="gramStart"/>
      <w:r w:rsidRPr="008E5C05">
        <w:rPr>
          <w:rFonts w:ascii="Times New Roman" w:hAnsi="Times New Roman" w:eastAsia="Times New Roman" w:cs="Times New Roman"/>
          <w:i/>
          <w:iCs/>
          <w:sz w:val="24"/>
          <w:szCs w:val="24"/>
        </w:rPr>
        <w:t>e.g.</w:t>
      </w:r>
      <w:proofErr w:type="gramEnd"/>
      <w:r w:rsidRPr="008E5C05">
        <w:rPr>
          <w:rFonts w:ascii="Times New Roman" w:hAnsi="Times New Roman" w:eastAsia="Times New Roman" w:cs="Times New Roman"/>
          <w:i/>
          <w:iCs/>
          <w:sz w:val="24"/>
          <w:szCs w:val="24"/>
        </w:rPr>
        <w:t xml:space="preserve"> Rodriguez-Arias v. Whitaker</w:t>
      </w:r>
      <w:r w:rsidRPr="008E5C05">
        <w:rPr>
          <w:rFonts w:ascii="Times New Roman" w:hAnsi="Times New Roman" w:eastAsia="Times New Roman" w:cs="Times New Roman"/>
          <w:sz w:val="24"/>
          <w:szCs w:val="24"/>
        </w:rPr>
        <w:t>, 915 F.3d 968, 973 (4th Cir. 2019) (noting that no circuit has disagreed with the “aggregation analysis” applied by the Third and Ninth Circuits). </w:t>
      </w:r>
    </w:p>
    <w:p w:rsidRPr="008E5C05" w:rsidR="008E5C05" w:rsidP="008E5C05" w:rsidRDefault="008E5C05" w14:paraId="7D520049" w14:textId="77777777">
      <w:pPr>
        <w:spacing w:after="0" w:line="360" w:lineRule="auto"/>
        <w:ind w:firstLine="720"/>
        <w:jc w:val="both"/>
        <w:textAlignment w:val="baseline"/>
        <w:rPr>
          <w:rFonts w:ascii="Segoe UI" w:hAnsi="Segoe UI" w:eastAsia="Times New Roman" w:cs="Segoe UI"/>
          <w:sz w:val="18"/>
          <w:szCs w:val="18"/>
        </w:rPr>
      </w:pPr>
      <w:r w:rsidRPr="008E5C05">
        <w:rPr>
          <w:rFonts w:ascii="Times New Roman" w:hAnsi="Times New Roman" w:eastAsia="Times New Roman" w:cs="Times New Roman"/>
          <w:sz w:val="24"/>
          <w:szCs w:val="24"/>
        </w:rPr>
        <w:t xml:space="preserve">In assessing whether it is more likely than not that she would be tortured, the court shall consider all evidence relevant to the possibility of future torture, including, but not limited to, evidence of past torture inflicted on the applicant; evidence that the applicant could relocate to a part of the country where she is not likely to be tortured; evidence of gross, flagrant, or mass violations of human rights within the country of removal; and other relevant information regarding </w:t>
      </w:r>
      <w:r w:rsidRPr="008E5C05">
        <w:rPr>
          <w:rFonts w:ascii="Times New Roman" w:hAnsi="Times New Roman" w:eastAsia="Times New Roman" w:cs="Times New Roman"/>
          <w:sz w:val="24"/>
          <w:szCs w:val="24"/>
        </w:rPr>
        <w:lastRenderedPageBreak/>
        <w:t>conditions in the country of removal. 8 C.F.R. § 208.16(c)(3). An applicant’s uncorroborated testimony is often sufficient to invoke CAT protection. 8 C.F.R. § 208.16(c)(2). </w:t>
      </w:r>
    </w:p>
    <w:p w:rsidRPr="008E5C05" w:rsidR="00BB0F99" w:rsidP="008E5C05" w:rsidRDefault="00BB0F99" w14:paraId="62E89E92" w14:textId="77777777">
      <w:pPr>
        <w:rPr>
          <w:rFonts w:ascii="Times New Roman" w:hAnsi="Times New Roman" w:eastAsia="Times New Roman" w:cs="Times New Roman"/>
          <w:b/>
          <w:bCs/>
          <w:sz w:val="24"/>
          <w:szCs w:val="24"/>
        </w:rPr>
      </w:pPr>
    </w:p>
    <w:p w:rsidR="00BB0F99" w:rsidP="00BB0F99" w:rsidRDefault="00BB0F99" w14:paraId="2BF14B75" w14:textId="77777777">
      <w:pPr>
        <w:pStyle w:val="ListParagraph"/>
        <w:ind w:left="1080"/>
        <w:rPr>
          <w:rFonts w:ascii="Times New Roman" w:hAnsi="Times New Roman" w:eastAsia="Times New Roman" w:cs="Times New Roman"/>
          <w:b/>
          <w:bCs/>
          <w:sz w:val="24"/>
          <w:szCs w:val="24"/>
        </w:rPr>
      </w:pPr>
    </w:p>
    <w:p w:rsidRPr="002E032B" w:rsidR="002E032B" w:rsidP="002E032B" w:rsidRDefault="002E032B" w14:paraId="5CCEE494" w14:textId="26C8B8EA">
      <w:pPr>
        <w:pStyle w:val="ListParagraph"/>
        <w:numPr>
          <w:ilvl w:val="0"/>
          <w:numId w:val="4"/>
        </w:num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p>
    <w:p w:rsidRPr="002E032B" w:rsidR="002E032B" w:rsidP="002E032B" w:rsidRDefault="002E032B" w14:paraId="090A5647" w14:textId="02D2822F">
      <w:pPr>
        <w:spacing w:after="0" w:line="240" w:lineRule="auto"/>
        <w:textAlignment w:val="baseline"/>
        <w:rPr>
          <w:b/>
          <w:bCs/>
        </w:rPr>
      </w:pPr>
      <w:r w:rsidRPr="002E032B">
        <w:rPr>
          <w:rFonts w:ascii="Calibri" w:hAnsi="Calibri" w:eastAsia="Times New Roman" w:cs="Calibri"/>
        </w:rPr>
        <w:br/>
      </w:r>
    </w:p>
    <w:p w:rsidR="004B766B" w:rsidRDefault="008E5C05" w14:paraId="22806844" w14:textId="77777777"/>
    <w:sectPr w:rsidR="004B766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42A"/>
    <w:multiLevelType w:val="multilevel"/>
    <w:tmpl w:val="E52A0220"/>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 w15:restartNumberingAfterBreak="0">
    <w:nsid w:val="1F617C28"/>
    <w:multiLevelType w:val="multilevel"/>
    <w:tmpl w:val="9D52B8A8"/>
    <w:lvl w:ilvl="0">
      <w:start w:val="1"/>
      <w:numFmt w:val="lowerRoman"/>
      <w:lvlText w:val="%1."/>
      <w:lvlJc w:val="right"/>
      <w:pPr>
        <w:tabs>
          <w:tab w:val="num" w:pos="720"/>
        </w:tabs>
        <w:ind w:left="720" w:hanging="360"/>
      </w:pPr>
    </w:lvl>
    <w:lvl w:ilvl="1" w:tentative="1">
      <w:numFmt w:val="lowerRoman"/>
      <w:lvlText w:val="%2."/>
      <w:lvlJc w:val="right"/>
      <w:pPr>
        <w:tabs>
          <w:tab w:val="num" w:pos="1440"/>
        </w:tabs>
        <w:ind w:left="1440" w:hanging="360"/>
      </w:pPr>
    </w:lvl>
    <w:lvl w:ilvl="2" w:tentative="1">
      <w:numFmt w:val="lowerRoman"/>
      <w:lvlText w:val="%3."/>
      <w:lvlJc w:val="right"/>
      <w:pPr>
        <w:tabs>
          <w:tab w:val="num" w:pos="2160"/>
        </w:tabs>
        <w:ind w:left="2160" w:hanging="360"/>
      </w:p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2" w15:restartNumberingAfterBreak="0">
    <w:nsid w:val="30DC2D86"/>
    <w:multiLevelType w:val="multilevel"/>
    <w:tmpl w:val="63F0837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3A8C55A9"/>
    <w:multiLevelType w:val="hybridMultilevel"/>
    <w:tmpl w:val="C486DD22"/>
    <w:lvl w:ilvl="0" w:tplc="6360CF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117927">
    <w:abstractNumId w:val="0"/>
  </w:num>
  <w:num w:numId="2" w16cid:durableId="823159959">
    <w:abstractNumId w:val="2"/>
  </w:num>
  <w:num w:numId="3" w16cid:durableId="796946926">
    <w:abstractNumId w:val="1"/>
  </w:num>
  <w:num w:numId="4" w16cid:durableId="873075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2B"/>
    <w:rsid w:val="000653A3"/>
    <w:rsid w:val="00072FCE"/>
    <w:rsid w:val="002E032B"/>
    <w:rsid w:val="00570F52"/>
    <w:rsid w:val="00832710"/>
    <w:rsid w:val="008E5C05"/>
    <w:rsid w:val="00B968D1"/>
    <w:rsid w:val="00BB0F99"/>
    <w:rsid w:val="00CC2F93"/>
    <w:rsid w:val="00F551BC"/>
    <w:rsid w:val="6889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252C"/>
  <w15:chartTrackingRefBased/>
  <w15:docId w15:val="{0C7B5D88-5F12-4427-AD66-4067413B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E032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E032B"/>
  </w:style>
  <w:style w:type="character" w:styleId="scxw252681827" w:customStyle="1">
    <w:name w:val="scxw252681827"/>
    <w:basedOn w:val="DefaultParagraphFont"/>
    <w:rsid w:val="002E032B"/>
  </w:style>
  <w:style w:type="character" w:styleId="eop" w:customStyle="1">
    <w:name w:val="eop"/>
    <w:basedOn w:val="DefaultParagraphFont"/>
    <w:rsid w:val="002E032B"/>
  </w:style>
  <w:style w:type="character" w:styleId="tabchar" w:customStyle="1">
    <w:name w:val="tabchar"/>
    <w:basedOn w:val="DefaultParagraphFont"/>
    <w:rsid w:val="002E032B"/>
  </w:style>
  <w:style w:type="character" w:styleId="scxw141058225" w:customStyle="1">
    <w:name w:val="scxw141058225"/>
    <w:basedOn w:val="DefaultParagraphFont"/>
    <w:rsid w:val="002E032B"/>
  </w:style>
  <w:style w:type="paragraph" w:styleId="ListParagraph">
    <w:name w:val="List Paragraph"/>
    <w:basedOn w:val="Normal"/>
    <w:uiPriority w:val="34"/>
    <w:qFormat/>
    <w:rsid w:val="002E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4261">
      <w:bodyDiv w:val="1"/>
      <w:marLeft w:val="0"/>
      <w:marRight w:val="0"/>
      <w:marTop w:val="0"/>
      <w:marBottom w:val="0"/>
      <w:divBdr>
        <w:top w:val="none" w:sz="0" w:space="0" w:color="auto"/>
        <w:left w:val="none" w:sz="0" w:space="0" w:color="auto"/>
        <w:bottom w:val="none" w:sz="0" w:space="0" w:color="auto"/>
        <w:right w:val="none" w:sz="0" w:space="0" w:color="auto"/>
      </w:divBdr>
      <w:divsChild>
        <w:div w:id="1925190433">
          <w:marLeft w:val="0"/>
          <w:marRight w:val="0"/>
          <w:marTop w:val="0"/>
          <w:marBottom w:val="0"/>
          <w:divBdr>
            <w:top w:val="none" w:sz="0" w:space="0" w:color="auto"/>
            <w:left w:val="none" w:sz="0" w:space="0" w:color="auto"/>
            <w:bottom w:val="none" w:sz="0" w:space="0" w:color="auto"/>
            <w:right w:val="none" w:sz="0" w:space="0" w:color="auto"/>
          </w:divBdr>
        </w:div>
        <w:div w:id="1826313470">
          <w:marLeft w:val="0"/>
          <w:marRight w:val="0"/>
          <w:marTop w:val="0"/>
          <w:marBottom w:val="0"/>
          <w:divBdr>
            <w:top w:val="none" w:sz="0" w:space="0" w:color="auto"/>
            <w:left w:val="none" w:sz="0" w:space="0" w:color="auto"/>
            <w:bottom w:val="none" w:sz="0" w:space="0" w:color="auto"/>
            <w:right w:val="none" w:sz="0" w:space="0" w:color="auto"/>
          </w:divBdr>
        </w:div>
        <w:div w:id="775561212">
          <w:marLeft w:val="0"/>
          <w:marRight w:val="0"/>
          <w:marTop w:val="0"/>
          <w:marBottom w:val="0"/>
          <w:divBdr>
            <w:top w:val="none" w:sz="0" w:space="0" w:color="auto"/>
            <w:left w:val="none" w:sz="0" w:space="0" w:color="auto"/>
            <w:bottom w:val="none" w:sz="0" w:space="0" w:color="auto"/>
            <w:right w:val="none" w:sz="0" w:space="0" w:color="auto"/>
          </w:divBdr>
        </w:div>
      </w:divsChild>
    </w:div>
    <w:div w:id="458571805">
      <w:bodyDiv w:val="1"/>
      <w:marLeft w:val="0"/>
      <w:marRight w:val="0"/>
      <w:marTop w:val="0"/>
      <w:marBottom w:val="0"/>
      <w:divBdr>
        <w:top w:val="none" w:sz="0" w:space="0" w:color="auto"/>
        <w:left w:val="none" w:sz="0" w:space="0" w:color="auto"/>
        <w:bottom w:val="none" w:sz="0" w:space="0" w:color="auto"/>
        <w:right w:val="none" w:sz="0" w:space="0" w:color="auto"/>
      </w:divBdr>
      <w:divsChild>
        <w:div w:id="2088305824">
          <w:marLeft w:val="0"/>
          <w:marRight w:val="0"/>
          <w:marTop w:val="0"/>
          <w:marBottom w:val="0"/>
          <w:divBdr>
            <w:top w:val="none" w:sz="0" w:space="0" w:color="auto"/>
            <w:left w:val="none" w:sz="0" w:space="0" w:color="auto"/>
            <w:bottom w:val="none" w:sz="0" w:space="0" w:color="auto"/>
            <w:right w:val="none" w:sz="0" w:space="0" w:color="auto"/>
          </w:divBdr>
        </w:div>
        <w:div w:id="1742605497">
          <w:marLeft w:val="0"/>
          <w:marRight w:val="0"/>
          <w:marTop w:val="0"/>
          <w:marBottom w:val="0"/>
          <w:divBdr>
            <w:top w:val="none" w:sz="0" w:space="0" w:color="auto"/>
            <w:left w:val="none" w:sz="0" w:space="0" w:color="auto"/>
            <w:bottom w:val="none" w:sz="0" w:space="0" w:color="auto"/>
            <w:right w:val="none" w:sz="0" w:space="0" w:color="auto"/>
          </w:divBdr>
        </w:div>
      </w:divsChild>
    </w:div>
    <w:div w:id="759982126">
      <w:bodyDiv w:val="1"/>
      <w:marLeft w:val="0"/>
      <w:marRight w:val="0"/>
      <w:marTop w:val="0"/>
      <w:marBottom w:val="0"/>
      <w:divBdr>
        <w:top w:val="none" w:sz="0" w:space="0" w:color="auto"/>
        <w:left w:val="none" w:sz="0" w:space="0" w:color="auto"/>
        <w:bottom w:val="none" w:sz="0" w:space="0" w:color="auto"/>
        <w:right w:val="none" w:sz="0" w:space="0" w:color="auto"/>
      </w:divBdr>
      <w:divsChild>
        <w:div w:id="1608586877">
          <w:marLeft w:val="0"/>
          <w:marRight w:val="0"/>
          <w:marTop w:val="0"/>
          <w:marBottom w:val="0"/>
          <w:divBdr>
            <w:top w:val="none" w:sz="0" w:space="0" w:color="auto"/>
            <w:left w:val="none" w:sz="0" w:space="0" w:color="auto"/>
            <w:bottom w:val="none" w:sz="0" w:space="0" w:color="auto"/>
            <w:right w:val="none" w:sz="0" w:space="0" w:color="auto"/>
          </w:divBdr>
        </w:div>
        <w:div w:id="966424717">
          <w:marLeft w:val="0"/>
          <w:marRight w:val="0"/>
          <w:marTop w:val="0"/>
          <w:marBottom w:val="0"/>
          <w:divBdr>
            <w:top w:val="none" w:sz="0" w:space="0" w:color="auto"/>
            <w:left w:val="none" w:sz="0" w:space="0" w:color="auto"/>
            <w:bottom w:val="none" w:sz="0" w:space="0" w:color="auto"/>
            <w:right w:val="none" w:sz="0" w:space="0" w:color="auto"/>
          </w:divBdr>
        </w:div>
        <w:div w:id="1498691921">
          <w:marLeft w:val="0"/>
          <w:marRight w:val="0"/>
          <w:marTop w:val="0"/>
          <w:marBottom w:val="0"/>
          <w:divBdr>
            <w:top w:val="none" w:sz="0" w:space="0" w:color="auto"/>
            <w:left w:val="none" w:sz="0" w:space="0" w:color="auto"/>
            <w:bottom w:val="none" w:sz="0" w:space="0" w:color="auto"/>
            <w:right w:val="none" w:sz="0" w:space="0" w:color="auto"/>
          </w:divBdr>
        </w:div>
        <w:div w:id="2028671047">
          <w:marLeft w:val="0"/>
          <w:marRight w:val="0"/>
          <w:marTop w:val="0"/>
          <w:marBottom w:val="0"/>
          <w:divBdr>
            <w:top w:val="none" w:sz="0" w:space="0" w:color="auto"/>
            <w:left w:val="none" w:sz="0" w:space="0" w:color="auto"/>
            <w:bottom w:val="none" w:sz="0" w:space="0" w:color="auto"/>
            <w:right w:val="none" w:sz="0" w:space="0" w:color="auto"/>
          </w:divBdr>
        </w:div>
        <w:div w:id="231815845">
          <w:marLeft w:val="0"/>
          <w:marRight w:val="0"/>
          <w:marTop w:val="0"/>
          <w:marBottom w:val="0"/>
          <w:divBdr>
            <w:top w:val="none" w:sz="0" w:space="0" w:color="auto"/>
            <w:left w:val="none" w:sz="0" w:space="0" w:color="auto"/>
            <w:bottom w:val="none" w:sz="0" w:space="0" w:color="auto"/>
            <w:right w:val="none" w:sz="0" w:space="0" w:color="auto"/>
          </w:divBdr>
        </w:div>
        <w:div w:id="1483162080">
          <w:marLeft w:val="0"/>
          <w:marRight w:val="0"/>
          <w:marTop w:val="0"/>
          <w:marBottom w:val="0"/>
          <w:divBdr>
            <w:top w:val="none" w:sz="0" w:space="0" w:color="auto"/>
            <w:left w:val="none" w:sz="0" w:space="0" w:color="auto"/>
            <w:bottom w:val="none" w:sz="0" w:space="0" w:color="auto"/>
            <w:right w:val="none" w:sz="0" w:space="0" w:color="auto"/>
          </w:divBdr>
        </w:div>
        <w:div w:id="1297880392">
          <w:marLeft w:val="0"/>
          <w:marRight w:val="0"/>
          <w:marTop w:val="0"/>
          <w:marBottom w:val="0"/>
          <w:divBdr>
            <w:top w:val="none" w:sz="0" w:space="0" w:color="auto"/>
            <w:left w:val="none" w:sz="0" w:space="0" w:color="auto"/>
            <w:bottom w:val="none" w:sz="0" w:space="0" w:color="auto"/>
            <w:right w:val="none" w:sz="0" w:space="0" w:color="auto"/>
          </w:divBdr>
        </w:div>
        <w:div w:id="1945723637">
          <w:marLeft w:val="0"/>
          <w:marRight w:val="0"/>
          <w:marTop w:val="0"/>
          <w:marBottom w:val="0"/>
          <w:divBdr>
            <w:top w:val="none" w:sz="0" w:space="0" w:color="auto"/>
            <w:left w:val="none" w:sz="0" w:space="0" w:color="auto"/>
            <w:bottom w:val="none" w:sz="0" w:space="0" w:color="auto"/>
            <w:right w:val="none" w:sz="0" w:space="0" w:color="auto"/>
          </w:divBdr>
        </w:div>
        <w:div w:id="70279764">
          <w:marLeft w:val="0"/>
          <w:marRight w:val="0"/>
          <w:marTop w:val="0"/>
          <w:marBottom w:val="0"/>
          <w:divBdr>
            <w:top w:val="none" w:sz="0" w:space="0" w:color="auto"/>
            <w:left w:val="none" w:sz="0" w:space="0" w:color="auto"/>
            <w:bottom w:val="none" w:sz="0" w:space="0" w:color="auto"/>
            <w:right w:val="none" w:sz="0" w:space="0" w:color="auto"/>
          </w:divBdr>
        </w:div>
        <w:div w:id="1197814788">
          <w:marLeft w:val="0"/>
          <w:marRight w:val="0"/>
          <w:marTop w:val="0"/>
          <w:marBottom w:val="0"/>
          <w:divBdr>
            <w:top w:val="none" w:sz="0" w:space="0" w:color="auto"/>
            <w:left w:val="none" w:sz="0" w:space="0" w:color="auto"/>
            <w:bottom w:val="none" w:sz="0" w:space="0" w:color="auto"/>
            <w:right w:val="none" w:sz="0" w:space="0" w:color="auto"/>
          </w:divBdr>
        </w:div>
        <w:div w:id="268857257">
          <w:marLeft w:val="0"/>
          <w:marRight w:val="0"/>
          <w:marTop w:val="0"/>
          <w:marBottom w:val="0"/>
          <w:divBdr>
            <w:top w:val="none" w:sz="0" w:space="0" w:color="auto"/>
            <w:left w:val="none" w:sz="0" w:space="0" w:color="auto"/>
            <w:bottom w:val="none" w:sz="0" w:space="0" w:color="auto"/>
            <w:right w:val="none" w:sz="0" w:space="0" w:color="auto"/>
          </w:divBdr>
        </w:div>
        <w:div w:id="1020476678">
          <w:marLeft w:val="0"/>
          <w:marRight w:val="0"/>
          <w:marTop w:val="0"/>
          <w:marBottom w:val="0"/>
          <w:divBdr>
            <w:top w:val="none" w:sz="0" w:space="0" w:color="auto"/>
            <w:left w:val="none" w:sz="0" w:space="0" w:color="auto"/>
            <w:bottom w:val="none" w:sz="0" w:space="0" w:color="auto"/>
            <w:right w:val="none" w:sz="0" w:space="0" w:color="auto"/>
          </w:divBdr>
        </w:div>
        <w:div w:id="854415741">
          <w:marLeft w:val="0"/>
          <w:marRight w:val="0"/>
          <w:marTop w:val="0"/>
          <w:marBottom w:val="0"/>
          <w:divBdr>
            <w:top w:val="none" w:sz="0" w:space="0" w:color="auto"/>
            <w:left w:val="none" w:sz="0" w:space="0" w:color="auto"/>
            <w:bottom w:val="none" w:sz="0" w:space="0" w:color="auto"/>
            <w:right w:val="none" w:sz="0" w:space="0" w:color="auto"/>
          </w:divBdr>
        </w:div>
        <w:div w:id="849565380">
          <w:marLeft w:val="0"/>
          <w:marRight w:val="0"/>
          <w:marTop w:val="0"/>
          <w:marBottom w:val="0"/>
          <w:divBdr>
            <w:top w:val="none" w:sz="0" w:space="0" w:color="auto"/>
            <w:left w:val="none" w:sz="0" w:space="0" w:color="auto"/>
            <w:bottom w:val="none" w:sz="0" w:space="0" w:color="auto"/>
            <w:right w:val="none" w:sz="0" w:space="0" w:color="auto"/>
          </w:divBdr>
        </w:div>
        <w:div w:id="1228346295">
          <w:marLeft w:val="0"/>
          <w:marRight w:val="0"/>
          <w:marTop w:val="0"/>
          <w:marBottom w:val="0"/>
          <w:divBdr>
            <w:top w:val="none" w:sz="0" w:space="0" w:color="auto"/>
            <w:left w:val="none" w:sz="0" w:space="0" w:color="auto"/>
            <w:bottom w:val="none" w:sz="0" w:space="0" w:color="auto"/>
            <w:right w:val="none" w:sz="0" w:space="0" w:color="auto"/>
          </w:divBdr>
        </w:div>
        <w:div w:id="1726222686">
          <w:marLeft w:val="0"/>
          <w:marRight w:val="0"/>
          <w:marTop w:val="0"/>
          <w:marBottom w:val="0"/>
          <w:divBdr>
            <w:top w:val="none" w:sz="0" w:space="0" w:color="auto"/>
            <w:left w:val="none" w:sz="0" w:space="0" w:color="auto"/>
            <w:bottom w:val="none" w:sz="0" w:space="0" w:color="auto"/>
            <w:right w:val="none" w:sz="0" w:space="0" w:color="auto"/>
          </w:divBdr>
        </w:div>
        <w:div w:id="1270357719">
          <w:marLeft w:val="0"/>
          <w:marRight w:val="0"/>
          <w:marTop w:val="0"/>
          <w:marBottom w:val="0"/>
          <w:divBdr>
            <w:top w:val="none" w:sz="0" w:space="0" w:color="auto"/>
            <w:left w:val="none" w:sz="0" w:space="0" w:color="auto"/>
            <w:bottom w:val="none" w:sz="0" w:space="0" w:color="auto"/>
            <w:right w:val="none" w:sz="0" w:space="0" w:color="auto"/>
          </w:divBdr>
        </w:div>
        <w:div w:id="588657245">
          <w:marLeft w:val="0"/>
          <w:marRight w:val="0"/>
          <w:marTop w:val="0"/>
          <w:marBottom w:val="0"/>
          <w:divBdr>
            <w:top w:val="none" w:sz="0" w:space="0" w:color="auto"/>
            <w:left w:val="none" w:sz="0" w:space="0" w:color="auto"/>
            <w:bottom w:val="none" w:sz="0" w:space="0" w:color="auto"/>
            <w:right w:val="none" w:sz="0" w:space="0" w:color="auto"/>
          </w:divBdr>
        </w:div>
        <w:div w:id="691536248">
          <w:marLeft w:val="0"/>
          <w:marRight w:val="0"/>
          <w:marTop w:val="0"/>
          <w:marBottom w:val="0"/>
          <w:divBdr>
            <w:top w:val="none" w:sz="0" w:space="0" w:color="auto"/>
            <w:left w:val="none" w:sz="0" w:space="0" w:color="auto"/>
            <w:bottom w:val="none" w:sz="0" w:space="0" w:color="auto"/>
            <w:right w:val="none" w:sz="0" w:space="0" w:color="auto"/>
          </w:divBdr>
        </w:div>
        <w:div w:id="1483158175">
          <w:marLeft w:val="0"/>
          <w:marRight w:val="0"/>
          <w:marTop w:val="0"/>
          <w:marBottom w:val="0"/>
          <w:divBdr>
            <w:top w:val="none" w:sz="0" w:space="0" w:color="auto"/>
            <w:left w:val="none" w:sz="0" w:space="0" w:color="auto"/>
            <w:bottom w:val="none" w:sz="0" w:space="0" w:color="auto"/>
            <w:right w:val="none" w:sz="0" w:space="0" w:color="auto"/>
          </w:divBdr>
        </w:div>
        <w:div w:id="521016616">
          <w:marLeft w:val="0"/>
          <w:marRight w:val="0"/>
          <w:marTop w:val="0"/>
          <w:marBottom w:val="0"/>
          <w:divBdr>
            <w:top w:val="none" w:sz="0" w:space="0" w:color="auto"/>
            <w:left w:val="none" w:sz="0" w:space="0" w:color="auto"/>
            <w:bottom w:val="none" w:sz="0" w:space="0" w:color="auto"/>
            <w:right w:val="none" w:sz="0" w:space="0" w:color="auto"/>
          </w:divBdr>
        </w:div>
        <w:div w:id="578557320">
          <w:marLeft w:val="0"/>
          <w:marRight w:val="0"/>
          <w:marTop w:val="0"/>
          <w:marBottom w:val="0"/>
          <w:divBdr>
            <w:top w:val="none" w:sz="0" w:space="0" w:color="auto"/>
            <w:left w:val="none" w:sz="0" w:space="0" w:color="auto"/>
            <w:bottom w:val="none" w:sz="0" w:space="0" w:color="auto"/>
            <w:right w:val="none" w:sz="0" w:space="0" w:color="auto"/>
          </w:divBdr>
        </w:div>
        <w:div w:id="342052414">
          <w:marLeft w:val="0"/>
          <w:marRight w:val="0"/>
          <w:marTop w:val="0"/>
          <w:marBottom w:val="0"/>
          <w:divBdr>
            <w:top w:val="none" w:sz="0" w:space="0" w:color="auto"/>
            <w:left w:val="none" w:sz="0" w:space="0" w:color="auto"/>
            <w:bottom w:val="none" w:sz="0" w:space="0" w:color="auto"/>
            <w:right w:val="none" w:sz="0" w:space="0" w:color="auto"/>
          </w:divBdr>
        </w:div>
        <w:div w:id="992441987">
          <w:marLeft w:val="0"/>
          <w:marRight w:val="0"/>
          <w:marTop w:val="0"/>
          <w:marBottom w:val="0"/>
          <w:divBdr>
            <w:top w:val="none" w:sz="0" w:space="0" w:color="auto"/>
            <w:left w:val="none" w:sz="0" w:space="0" w:color="auto"/>
            <w:bottom w:val="none" w:sz="0" w:space="0" w:color="auto"/>
            <w:right w:val="none" w:sz="0" w:space="0" w:color="auto"/>
          </w:divBdr>
        </w:div>
        <w:div w:id="837772483">
          <w:marLeft w:val="0"/>
          <w:marRight w:val="0"/>
          <w:marTop w:val="0"/>
          <w:marBottom w:val="0"/>
          <w:divBdr>
            <w:top w:val="none" w:sz="0" w:space="0" w:color="auto"/>
            <w:left w:val="none" w:sz="0" w:space="0" w:color="auto"/>
            <w:bottom w:val="none" w:sz="0" w:space="0" w:color="auto"/>
            <w:right w:val="none" w:sz="0" w:space="0" w:color="auto"/>
          </w:divBdr>
        </w:div>
        <w:div w:id="1170221538">
          <w:marLeft w:val="0"/>
          <w:marRight w:val="0"/>
          <w:marTop w:val="0"/>
          <w:marBottom w:val="0"/>
          <w:divBdr>
            <w:top w:val="none" w:sz="0" w:space="0" w:color="auto"/>
            <w:left w:val="none" w:sz="0" w:space="0" w:color="auto"/>
            <w:bottom w:val="none" w:sz="0" w:space="0" w:color="auto"/>
            <w:right w:val="none" w:sz="0" w:space="0" w:color="auto"/>
          </w:divBdr>
        </w:div>
        <w:div w:id="1551572712">
          <w:marLeft w:val="0"/>
          <w:marRight w:val="0"/>
          <w:marTop w:val="0"/>
          <w:marBottom w:val="0"/>
          <w:divBdr>
            <w:top w:val="none" w:sz="0" w:space="0" w:color="auto"/>
            <w:left w:val="none" w:sz="0" w:space="0" w:color="auto"/>
            <w:bottom w:val="none" w:sz="0" w:space="0" w:color="auto"/>
            <w:right w:val="none" w:sz="0" w:space="0" w:color="auto"/>
          </w:divBdr>
        </w:div>
        <w:div w:id="913197524">
          <w:marLeft w:val="0"/>
          <w:marRight w:val="0"/>
          <w:marTop w:val="0"/>
          <w:marBottom w:val="0"/>
          <w:divBdr>
            <w:top w:val="none" w:sz="0" w:space="0" w:color="auto"/>
            <w:left w:val="none" w:sz="0" w:space="0" w:color="auto"/>
            <w:bottom w:val="none" w:sz="0" w:space="0" w:color="auto"/>
            <w:right w:val="none" w:sz="0" w:space="0" w:color="auto"/>
          </w:divBdr>
        </w:div>
        <w:div w:id="1839345803">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526018558">
          <w:marLeft w:val="0"/>
          <w:marRight w:val="0"/>
          <w:marTop w:val="0"/>
          <w:marBottom w:val="0"/>
          <w:divBdr>
            <w:top w:val="none" w:sz="0" w:space="0" w:color="auto"/>
            <w:left w:val="none" w:sz="0" w:space="0" w:color="auto"/>
            <w:bottom w:val="none" w:sz="0" w:space="0" w:color="auto"/>
            <w:right w:val="none" w:sz="0" w:space="0" w:color="auto"/>
          </w:divBdr>
        </w:div>
        <w:div w:id="548344623">
          <w:marLeft w:val="0"/>
          <w:marRight w:val="0"/>
          <w:marTop w:val="0"/>
          <w:marBottom w:val="0"/>
          <w:divBdr>
            <w:top w:val="none" w:sz="0" w:space="0" w:color="auto"/>
            <w:left w:val="none" w:sz="0" w:space="0" w:color="auto"/>
            <w:bottom w:val="none" w:sz="0" w:space="0" w:color="auto"/>
            <w:right w:val="none" w:sz="0" w:space="0" w:color="auto"/>
          </w:divBdr>
        </w:div>
        <w:div w:id="235283733">
          <w:marLeft w:val="0"/>
          <w:marRight w:val="0"/>
          <w:marTop w:val="0"/>
          <w:marBottom w:val="0"/>
          <w:divBdr>
            <w:top w:val="none" w:sz="0" w:space="0" w:color="auto"/>
            <w:left w:val="none" w:sz="0" w:space="0" w:color="auto"/>
            <w:bottom w:val="none" w:sz="0" w:space="0" w:color="auto"/>
            <w:right w:val="none" w:sz="0" w:space="0" w:color="auto"/>
          </w:divBdr>
        </w:div>
      </w:divsChild>
    </w:div>
    <w:div w:id="1009599409">
      <w:bodyDiv w:val="1"/>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 w:id="449789160">
          <w:marLeft w:val="0"/>
          <w:marRight w:val="0"/>
          <w:marTop w:val="0"/>
          <w:marBottom w:val="0"/>
          <w:divBdr>
            <w:top w:val="none" w:sz="0" w:space="0" w:color="auto"/>
            <w:left w:val="none" w:sz="0" w:space="0" w:color="auto"/>
            <w:bottom w:val="none" w:sz="0" w:space="0" w:color="auto"/>
            <w:right w:val="none" w:sz="0" w:space="0" w:color="auto"/>
          </w:divBdr>
        </w:div>
        <w:div w:id="773283835">
          <w:marLeft w:val="0"/>
          <w:marRight w:val="0"/>
          <w:marTop w:val="0"/>
          <w:marBottom w:val="0"/>
          <w:divBdr>
            <w:top w:val="none" w:sz="0" w:space="0" w:color="auto"/>
            <w:left w:val="none" w:sz="0" w:space="0" w:color="auto"/>
            <w:bottom w:val="none" w:sz="0" w:space="0" w:color="auto"/>
            <w:right w:val="none" w:sz="0" w:space="0" w:color="auto"/>
          </w:divBdr>
        </w:div>
      </w:divsChild>
    </w:div>
    <w:div w:id="1077243124">
      <w:bodyDiv w:val="1"/>
      <w:marLeft w:val="0"/>
      <w:marRight w:val="0"/>
      <w:marTop w:val="0"/>
      <w:marBottom w:val="0"/>
      <w:divBdr>
        <w:top w:val="none" w:sz="0" w:space="0" w:color="auto"/>
        <w:left w:val="none" w:sz="0" w:space="0" w:color="auto"/>
        <w:bottom w:val="none" w:sz="0" w:space="0" w:color="auto"/>
        <w:right w:val="none" w:sz="0" w:space="0" w:color="auto"/>
      </w:divBdr>
      <w:divsChild>
        <w:div w:id="1666124051">
          <w:marLeft w:val="0"/>
          <w:marRight w:val="0"/>
          <w:marTop w:val="0"/>
          <w:marBottom w:val="0"/>
          <w:divBdr>
            <w:top w:val="none" w:sz="0" w:space="0" w:color="auto"/>
            <w:left w:val="none" w:sz="0" w:space="0" w:color="auto"/>
            <w:bottom w:val="none" w:sz="0" w:space="0" w:color="auto"/>
            <w:right w:val="none" w:sz="0" w:space="0" w:color="auto"/>
          </w:divBdr>
        </w:div>
        <w:div w:id="815680433">
          <w:marLeft w:val="0"/>
          <w:marRight w:val="0"/>
          <w:marTop w:val="0"/>
          <w:marBottom w:val="0"/>
          <w:divBdr>
            <w:top w:val="none" w:sz="0" w:space="0" w:color="auto"/>
            <w:left w:val="none" w:sz="0" w:space="0" w:color="auto"/>
            <w:bottom w:val="none" w:sz="0" w:space="0" w:color="auto"/>
            <w:right w:val="none" w:sz="0" w:space="0" w:color="auto"/>
          </w:divBdr>
        </w:div>
        <w:div w:id="1790902330">
          <w:marLeft w:val="0"/>
          <w:marRight w:val="0"/>
          <w:marTop w:val="0"/>
          <w:marBottom w:val="0"/>
          <w:divBdr>
            <w:top w:val="none" w:sz="0" w:space="0" w:color="auto"/>
            <w:left w:val="none" w:sz="0" w:space="0" w:color="auto"/>
            <w:bottom w:val="none" w:sz="0" w:space="0" w:color="auto"/>
            <w:right w:val="none" w:sz="0" w:space="0" w:color="auto"/>
          </w:divBdr>
        </w:div>
      </w:divsChild>
    </w:div>
    <w:div w:id="1269657900">
      <w:bodyDiv w:val="1"/>
      <w:marLeft w:val="0"/>
      <w:marRight w:val="0"/>
      <w:marTop w:val="0"/>
      <w:marBottom w:val="0"/>
      <w:divBdr>
        <w:top w:val="none" w:sz="0" w:space="0" w:color="auto"/>
        <w:left w:val="none" w:sz="0" w:space="0" w:color="auto"/>
        <w:bottom w:val="none" w:sz="0" w:space="0" w:color="auto"/>
        <w:right w:val="none" w:sz="0" w:space="0" w:color="auto"/>
      </w:divBdr>
      <w:divsChild>
        <w:div w:id="1232547680">
          <w:marLeft w:val="0"/>
          <w:marRight w:val="0"/>
          <w:marTop w:val="0"/>
          <w:marBottom w:val="0"/>
          <w:divBdr>
            <w:top w:val="none" w:sz="0" w:space="0" w:color="auto"/>
            <w:left w:val="none" w:sz="0" w:space="0" w:color="auto"/>
            <w:bottom w:val="none" w:sz="0" w:space="0" w:color="auto"/>
            <w:right w:val="none" w:sz="0" w:space="0" w:color="auto"/>
          </w:divBdr>
        </w:div>
        <w:div w:id="74133951">
          <w:marLeft w:val="0"/>
          <w:marRight w:val="0"/>
          <w:marTop w:val="0"/>
          <w:marBottom w:val="0"/>
          <w:divBdr>
            <w:top w:val="none" w:sz="0" w:space="0" w:color="auto"/>
            <w:left w:val="none" w:sz="0" w:space="0" w:color="auto"/>
            <w:bottom w:val="none" w:sz="0" w:space="0" w:color="auto"/>
            <w:right w:val="none" w:sz="0" w:space="0" w:color="auto"/>
          </w:divBdr>
        </w:div>
        <w:div w:id="261844077">
          <w:marLeft w:val="0"/>
          <w:marRight w:val="0"/>
          <w:marTop w:val="0"/>
          <w:marBottom w:val="0"/>
          <w:divBdr>
            <w:top w:val="none" w:sz="0" w:space="0" w:color="auto"/>
            <w:left w:val="none" w:sz="0" w:space="0" w:color="auto"/>
            <w:bottom w:val="none" w:sz="0" w:space="0" w:color="auto"/>
            <w:right w:val="none" w:sz="0" w:space="0" w:color="auto"/>
          </w:divBdr>
        </w:div>
      </w:divsChild>
    </w:div>
    <w:div w:id="1631662871">
      <w:bodyDiv w:val="1"/>
      <w:marLeft w:val="0"/>
      <w:marRight w:val="0"/>
      <w:marTop w:val="0"/>
      <w:marBottom w:val="0"/>
      <w:divBdr>
        <w:top w:val="none" w:sz="0" w:space="0" w:color="auto"/>
        <w:left w:val="none" w:sz="0" w:space="0" w:color="auto"/>
        <w:bottom w:val="none" w:sz="0" w:space="0" w:color="auto"/>
        <w:right w:val="none" w:sz="0" w:space="0" w:color="auto"/>
      </w:divBdr>
      <w:divsChild>
        <w:div w:id="492064468">
          <w:marLeft w:val="0"/>
          <w:marRight w:val="0"/>
          <w:marTop w:val="0"/>
          <w:marBottom w:val="0"/>
          <w:divBdr>
            <w:top w:val="none" w:sz="0" w:space="0" w:color="auto"/>
            <w:left w:val="none" w:sz="0" w:space="0" w:color="auto"/>
            <w:bottom w:val="none" w:sz="0" w:space="0" w:color="auto"/>
            <w:right w:val="none" w:sz="0" w:space="0" w:color="auto"/>
          </w:divBdr>
        </w:div>
        <w:div w:id="977418007">
          <w:marLeft w:val="0"/>
          <w:marRight w:val="0"/>
          <w:marTop w:val="0"/>
          <w:marBottom w:val="0"/>
          <w:divBdr>
            <w:top w:val="none" w:sz="0" w:space="0" w:color="auto"/>
            <w:left w:val="none" w:sz="0" w:space="0" w:color="auto"/>
            <w:bottom w:val="none" w:sz="0" w:space="0" w:color="auto"/>
            <w:right w:val="none" w:sz="0" w:space="0" w:color="auto"/>
          </w:divBdr>
        </w:div>
        <w:div w:id="35667776">
          <w:marLeft w:val="0"/>
          <w:marRight w:val="0"/>
          <w:marTop w:val="0"/>
          <w:marBottom w:val="0"/>
          <w:divBdr>
            <w:top w:val="none" w:sz="0" w:space="0" w:color="auto"/>
            <w:left w:val="none" w:sz="0" w:space="0" w:color="auto"/>
            <w:bottom w:val="none" w:sz="0" w:space="0" w:color="auto"/>
            <w:right w:val="none" w:sz="0" w:space="0" w:color="auto"/>
          </w:divBdr>
        </w:div>
        <w:div w:id="186026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7" ma:contentTypeDescription="Create a new document." ma:contentTypeScope="" ma:versionID="5a6ea78c4e2b09a39e90d2d81ff29b01">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7aeb36725c21e9e78d50913d809dd7e7"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lcf76f155ced4ddcb4097134ff3c332f xmlns="692f8491-03e6-4ae7-9ddc-df7d0f5cb8c3">
      <Terms xmlns="http://schemas.microsoft.com/office/infopath/2007/PartnerControls"/>
    </lcf76f155ced4ddcb4097134ff3c332f>
    <TaxCatchAll xmlns="e968d4b9-9f0d-4b6f-81c6-222446f6098e"/>
  </documentManagement>
</p:properties>
</file>

<file path=customXml/itemProps1.xml><?xml version="1.0" encoding="utf-8"?>
<ds:datastoreItem xmlns:ds="http://schemas.openxmlformats.org/officeDocument/2006/customXml" ds:itemID="{7C4073C2-1429-4183-9623-459FA9A3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5CFA8-D6EA-4B3D-A775-93158E852263}">
  <ds:schemaRefs>
    <ds:schemaRef ds:uri="http://schemas.microsoft.com/sharepoint/v3/contenttype/forms"/>
  </ds:schemaRefs>
</ds:datastoreItem>
</file>

<file path=customXml/itemProps3.xml><?xml version="1.0" encoding="utf-8"?>
<ds:datastoreItem xmlns:ds="http://schemas.openxmlformats.org/officeDocument/2006/customXml" ds:itemID="{6B560848-D1D8-43FE-92FE-8CFCF5AF35EA}">
  <ds:schemaRefs>
    <ds:schemaRef ds:uri="692f8491-03e6-4ae7-9ddc-df7d0f5cb8c3"/>
    <ds:schemaRef ds:uri="http://purl.org/dc/dcmitype/"/>
    <ds:schemaRef ds:uri="http://purl.org/dc/elements/1.1/"/>
    <ds:schemaRef ds:uri="e968d4b9-9f0d-4b6f-81c6-222446f6098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Brenes</dc:creator>
  <keywords/>
  <dc:description/>
  <lastModifiedBy>The Advocates for Human Rights</lastModifiedBy>
  <revision>2</revision>
  <dcterms:created xsi:type="dcterms:W3CDTF">2022-06-12T15:25:00.0000000Z</dcterms:created>
  <dcterms:modified xsi:type="dcterms:W3CDTF">2022-11-16T17:03:56.9662209Z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ies>
</file>